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425CC" w14:textId="74E1BA0C" w:rsidR="00BE364F" w:rsidRPr="009E5FF6" w:rsidRDefault="00BE364F" w:rsidP="009E5FF6">
      <w:pPr>
        <w:jc w:val="center"/>
        <w:rPr>
          <w:b/>
        </w:rPr>
      </w:pPr>
      <w:r w:rsidRPr="009E5FF6">
        <w:rPr>
          <w:b/>
        </w:rPr>
        <w:t>HINDLEY NURSERY SCHOOL – PUBLIC SECTOR EQUALITY DUTY</w:t>
      </w:r>
      <w:r w:rsidR="009E5FF6">
        <w:rPr>
          <w:b/>
        </w:rPr>
        <w:t xml:space="preserve"> 202</w:t>
      </w:r>
      <w:r w:rsidR="000424AB">
        <w:rPr>
          <w:b/>
        </w:rPr>
        <w:t>4</w:t>
      </w:r>
      <w:r w:rsidR="009E5FF6">
        <w:rPr>
          <w:b/>
        </w:rPr>
        <w:t>-2</w:t>
      </w:r>
      <w:r w:rsidR="000424AB">
        <w:rPr>
          <w:b/>
        </w:rPr>
        <w:t>5</w:t>
      </w:r>
    </w:p>
    <w:p w14:paraId="30F425CD" w14:textId="77777777" w:rsidR="00BE364F" w:rsidRPr="00C3522D" w:rsidRDefault="00BE364F" w:rsidP="00BE364F">
      <w:pPr>
        <w:rPr>
          <w:i/>
        </w:rPr>
      </w:pPr>
      <w:r w:rsidRPr="00C3522D">
        <w:rPr>
          <w:i/>
        </w:rPr>
        <w:t>“</w:t>
      </w:r>
      <w:r w:rsidR="00B413B3" w:rsidRPr="00C3522D">
        <w:rPr>
          <w:i/>
        </w:rPr>
        <w:t>Supporting our community to enable a positive start for children and their lifelong learning”</w:t>
      </w:r>
    </w:p>
    <w:p w14:paraId="30F425CE" w14:textId="77777777" w:rsidR="00BE364F" w:rsidRPr="00C3522D" w:rsidRDefault="00BE364F" w:rsidP="00BE364F">
      <w:pPr>
        <w:rPr>
          <w:b/>
        </w:rPr>
      </w:pPr>
      <w:r w:rsidRPr="00C3522D">
        <w:rPr>
          <w:b/>
        </w:rPr>
        <w:t>Aims</w:t>
      </w:r>
    </w:p>
    <w:p w14:paraId="30F425CF" w14:textId="77777777" w:rsidR="00BE364F" w:rsidRPr="001A4BCC" w:rsidRDefault="00BE364F" w:rsidP="00BE364F">
      <w:r w:rsidRPr="001A4BCC">
        <w:t>Our school aims to meet its obligations under the public sector equality duty by having due regard for the need to:</w:t>
      </w:r>
    </w:p>
    <w:p w14:paraId="30F425D0" w14:textId="77777777" w:rsidR="00BE364F" w:rsidRPr="001A4BCC" w:rsidRDefault="00BE364F" w:rsidP="00C3522D">
      <w:pPr>
        <w:pStyle w:val="ListParagraph"/>
        <w:numPr>
          <w:ilvl w:val="0"/>
          <w:numId w:val="1"/>
        </w:numPr>
      </w:pPr>
      <w:r w:rsidRPr="001A4BCC">
        <w:t>Eliminate discrimination and other conduct that is prohibited by the Equality Act 2010</w:t>
      </w:r>
    </w:p>
    <w:p w14:paraId="30F425D1" w14:textId="77777777" w:rsidR="00BE364F" w:rsidRPr="001A4BCC" w:rsidRDefault="00BE364F" w:rsidP="00C3522D">
      <w:pPr>
        <w:pStyle w:val="ListParagraph"/>
        <w:numPr>
          <w:ilvl w:val="0"/>
          <w:numId w:val="1"/>
        </w:numPr>
      </w:pPr>
      <w:r w:rsidRPr="001A4BCC">
        <w:t>Advance equality of opportunity between people who share a protected characteristic and people who do not share it</w:t>
      </w:r>
    </w:p>
    <w:p w14:paraId="30F425D2" w14:textId="77777777" w:rsidR="00BE364F" w:rsidRPr="001A4BCC" w:rsidRDefault="00BE364F" w:rsidP="00C3522D">
      <w:pPr>
        <w:pStyle w:val="ListParagraph"/>
        <w:numPr>
          <w:ilvl w:val="0"/>
          <w:numId w:val="1"/>
        </w:numPr>
      </w:pPr>
      <w:r w:rsidRPr="001A4BCC">
        <w:t>Foster good relations across all characteristics – between people who share a protected characteristic and people who do not share it </w:t>
      </w:r>
    </w:p>
    <w:p w14:paraId="30F425D3" w14:textId="77777777" w:rsidR="00BE364F" w:rsidRPr="00C3522D" w:rsidRDefault="00BE364F" w:rsidP="00BE364F">
      <w:pPr>
        <w:rPr>
          <w:b/>
        </w:rPr>
      </w:pPr>
      <w:r w:rsidRPr="00C3522D">
        <w:rPr>
          <w:b/>
        </w:rPr>
        <w:t xml:space="preserve">What is the Public </w:t>
      </w:r>
      <w:r w:rsidR="00C3522D">
        <w:rPr>
          <w:b/>
        </w:rPr>
        <w:t>Sector Equality Duty</w:t>
      </w:r>
    </w:p>
    <w:p w14:paraId="30F425D4" w14:textId="77777777" w:rsidR="00BE364F" w:rsidRPr="001A4BCC" w:rsidRDefault="00BE364F" w:rsidP="00BE364F">
      <w:r w:rsidRPr="001A4BCC">
        <w:t>The Equality Act 2010 introduced a single, general duty for public bodies, including schools, and which extends to all ‘protected characteristics’ – race, disability, sex, age, religion or belief, sexual orientation, pregnancy and maternity, and gender reassignment. </w:t>
      </w:r>
    </w:p>
    <w:p w14:paraId="30F425D5" w14:textId="77777777" w:rsidR="00BE364F" w:rsidRPr="00C3522D" w:rsidRDefault="00BE364F" w:rsidP="00BE364F">
      <w:pPr>
        <w:rPr>
          <w:b/>
        </w:rPr>
      </w:pPr>
      <w:r w:rsidRPr="00C3522D">
        <w:rPr>
          <w:b/>
        </w:rPr>
        <w:t>Legislation and guidance</w:t>
      </w:r>
    </w:p>
    <w:p w14:paraId="30F425D6" w14:textId="77777777" w:rsidR="00BE364F" w:rsidRPr="001A4BCC" w:rsidRDefault="00BE364F" w:rsidP="00BE364F">
      <w:r w:rsidRPr="001A4BCC">
        <w:t>This document meets the requirements under the following legislation: </w:t>
      </w:r>
    </w:p>
    <w:p w14:paraId="30F425D7" w14:textId="77777777" w:rsidR="002C39EE" w:rsidRPr="001A4BCC" w:rsidRDefault="00000000" w:rsidP="002C39EE">
      <w:pPr>
        <w:pStyle w:val="ListParagraph"/>
        <w:numPr>
          <w:ilvl w:val="0"/>
          <w:numId w:val="2"/>
        </w:numPr>
      </w:pPr>
      <w:hyperlink r:id="rId5" w:history="1">
        <w:r w:rsidR="00BE364F" w:rsidRPr="001A4BCC">
          <w:t>The Equality Act 2010</w:t>
        </w:r>
      </w:hyperlink>
      <w:r w:rsidR="00BE364F" w:rsidRPr="001A4BCC">
        <w:t>, which introduced the public sector equality duty and protects people from discrimination</w:t>
      </w:r>
      <w:r w:rsidR="002C39EE">
        <w:t xml:space="preserve"> </w:t>
      </w:r>
      <w:hyperlink r:id="rId6" w:history="1">
        <w:r w:rsidR="002C39EE" w:rsidRPr="0026206A">
          <w:rPr>
            <w:rStyle w:val="Hyperlink"/>
          </w:rPr>
          <w:t>http://legislation.gov.uk/ukpga/2010/15/contents</w:t>
        </w:r>
      </w:hyperlink>
      <w:r w:rsidR="002C39EE">
        <w:t xml:space="preserve"> </w:t>
      </w:r>
    </w:p>
    <w:p w14:paraId="30F425D8" w14:textId="77777777" w:rsidR="00BE364F" w:rsidRDefault="00000000" w:rsidP="002C39EE">
      <w:pPr>
        <w:pStyle w:val="ListParagraph"/>
        <w:numPr>
          <w:ilvl w:val="0"/>
          <w:numId w:val="2"/>
        </w:numPr>
      </w:pPr>
      <w:hyperlink r:id="rId7" w:history="1">
        <w:r w:rsidR="00BE364F" w:rsidRPr="001A4BCC">
          <w:t>The Equality Act 2010 (Specific Duties) Regulations 2011</w:t>
        </w:r>
      </w:hyperlink>
      <w:r w:rsidR="00BE364F" w:rsidRPr="001A4BCC">
        <w:t>, which require schools to publish information to demonstrate how they are complying with the public sector equality duty and to publish equality objectives</w:t>
      </w:r>
      <w:r w:rsidR="002C39EE">
        <w:t xml:space="preserve"> </w:t>
      </w:r>
    </w:p>
    <w:p w14:paraId="30F425D9" w14:textId="77777777" w:rsidR="002C39EE" w:rsidRPr="001A4BCC" w:rsidRDefault="00000000" w:rsidP="002C39EE">
      <w:pPr>
        <w:pStyle w:val="ListParagraph"/>
      </w:pPr>
      <w:hyperlink r:id="rId8" w:history="1">
        <w:r w:rsidR="002C39EE" w:rsidRPr="0026206A">
          <w:rPr>
            <w:rStyle w:val="Hyperlink"/>
          </w:rPr>
          <w:t>https://www.legislation.gov.uk/uksi/2011/2260/contents/made</w:t>
        </w:r>
      </w:hyperlink>
      <w:r w:rsidR="002C39EE">
        <w:t xml:space="preserve"> </w:t>
      </w:r>
    </w:p>
    <w:p w14:paraId="30F425DA" w14:textId="77777777" w:rsidR="00BE364F" w:rsidRDefault="00BE364F" w:rsidP="00BE364F">
      <w:r w:rsidRPr="001A4BCC">
        <w:t>This document is also based on the Department for Education (DfE) guidance: </w:t>
      </w:r>
      <w:hyperlink r:id="rId9" w:history="1">
        <w:r w:rsidRPr="001A4BCC">
          <w:t>The Equality Act 2010 and schools.</w:t>
        </w:r>
      </w:hyperlink>
    </w:p>
    <w:p w14:paraId="30F425DB" w14:textId="77777777" w:rsidR="002C39EE" w:rsidRDefault="00000000" w:rsidP="00BE364F">
      <w:hyperlink r:id="rId10" w:history="1">
        <w:r w:rsidR="002C39EE" w:rsidRPr="0026206A">
          <w:rPr>
            <w:rStyle w:val="Hyperlink"/>
          </w:rPr>
          <w:t>https://www.gov.uk/government/publications/equality-act-2010-advice-for-schools</w:t>
        </w:r>
      </w:hyperlink>
    </w:p>
    <w:p w14:paraId="30F425DC" w14:textId="77777777" w:rsidR="002C39EE" w:rsidRDefault="002C39EE" w:rsidP="00BE364F"/>
    <w:p w14:paraId="30F425DD" w14:textId="77777777" w:rsidR="00BE364F" w:rsidRPr="00C3522D" w:rsidRDefault="00BE364F" w:rsidP="00BE364F">
      <w:pPr>
        <w:rPr>
          <w:b/>
        </w:rPr>
      </w:pPr>
      <w:r w:rsidRPr="00C3522D">
        <w:rPr>
          <w:b/>
        </w:rPr>
        <w:t>Roles and responsibilities</w:t>
      </w:r>
    </w:p>
    <w:p w14:paraId="30F425DE" w14:textId="77777777" w:rsidR="00BE364F" w:rsidRPr="001A4BCC" w:rsidRDefault="00BE364F" w:rsidP="00BE364F">
      <w:r w:rsidRPr="001A4BCC">
        <w:t>The governing board will:</w:t>
      </w:r>
    </w:p>
    <w:p w14:paraId="30F425DF" w14:textId="77777777" w:rsidR="00BE364F" w:rsidRPr="001A4BCC" w:rsidRDefault="00BE364F" w:rsidP="002C39EE">
      <w:pPr>
        <w:pStyle w:val="ListParagraph"/>
        <w:numPr>
          <w:ilvl w:val="0"/>
          <w:numId w:val="3"/>
        </w:numPr>
      </w:pPr>
      <w:r w:rsidRPr="001A4BCC">
        <w:t>Ensure that the equality information and objectives as set out in this statement are published and communicated throughout the school, including to staff, pupils and parents</w:t>
      </w:r>
    </w:p>
    <w:p w14:paraId="30F425E0" w14:textId="77777777" w:rsidR="00BE364F" w:rsidRPr="001A4BCC" w:rsidRDefault="00BE364F" w:rsidP="002C39EE">
      <w:pPr>
        <w:pStyle w:val="ListParagraph"/>
        <w:numPr>
          <w:ilvl w:val="0"/>
          <w:numId w:val="3"/>
        </w:numPr>
      </w:pPr>
      <w:r w:rsidRPr="001A4BCC">
        <w:t>Delegate responsibility for monitoring the achievement of the objectives on a daily basis to the headteacher</w:t>
      </w:r>
    </w:p>
    <w:p w14:paraId="30F425E1" w14:textId="77777777" w:rsidR="00BE364F" w:rsidRPr="001A4BCC" w:rsidRDefault="00BE364F" w:rsidP="00BE364F">
      <w:r w:rsidRPr="001A4BCC">
        <w:t>The SLT will:</w:t>
      </w:r>
    </w:p>
    <w:p w14:paraId="30F425E2" w14:textId="77777777" w:rsidR="00BE364F" w:rsidRPr="001A4BCC" w:rsidRDefault="00BE364F" w:rsidP="002C39EE">
      <w:pPr>
        <w:pStyle w:val="ListParagraph"/>
        <w:numPr>
          <w:ilvl w:val="0"/>
          <w:numId w:val="4"/>
        </w:numPr>
      </w:pPr>
      <w:r w:rsidRPr="001A4BCC">
        <w:t>Promote knowledge and understanding of the equality objectives amongst staff and pupils</w:t>
      </w:r>
    </w:p>
    <w:p w14:paraId="30F425E3" w14:textId="77777777" w:rsidR="00BE364F" w:rsidRPr="001A4BCC" w:rsidRDefault="00BE364F" w:rsidP="002C39EE">
      <w:pPr>
        <w:pStyle w:val="ListParagraph"/>
        <w:numPr>
          <w:ilvl w:val="0"/>
          <w:numId w:val="4"/>
        </w:numPr>
      </w:pPr>
      <w:r w:rsidRPr="001A4BCC">
        <w:t>Monitor success in achieving the objectives and report back to governors</w:t>
      </w:r>
    </w:p>
    <w:p w14:paraId="30F425E4" w14:textId="77777777" w:rsidR="00BE364F" w:rsidRDefault="00BE364F" w:rsidP="002C39EE">
      <w:pPr>
        <w:pStyle w:val="ListParagraph"/>
        <w:numPr>
          <w:ilvl w:val="0"/>
          <w:numId w:val="4"/>
        </w:numPr>
      </w:pPr>
      <w:r w:rsidRPr="001A4BCC">
        <w:t>Ensure there is an annual focus on one of the nine protected characteristics</w:t>
      </w:r>
    </w:p>
    <w:p w14:paraId="30F425E5" w14:textId="77777777" w:rsidR="002C39EE" w:rsidRPr="001A4BCC" w:rsidRDefault="002C39EE" w:rsidP="002C39EE">
      <w:pPr>
        <w:pStyle w:val="ListParagraph"/>
      </w:pPr>
    </w:p>
    <w:p w14:paraId="30F425E6" w14:textId="77777777" w:rsidR="00BE364F" w:rsidRPr="002C39EE" w:rsidRDefault="00BE364F" w:rsidP="00BE364F">
      <w:pPr>
        <w:rPr>
          <w:b/>
        </w:rPr>
      </w:pPr>
      <w:r w:rsidRPr="002C39EE">
        <w:rPr>
          <w:b/>
        </w:rPr>
        <w:lastRenderedPageBreak/>
        <w:t> </w:t>
      </w:r>
      <w:r w:rsidR="002C39EE" w:rsidRPr="002C39EE">
        <w:rPr>
          <w:b/>
        </w:rPr>
        <w:t xml:space="preserve">How does Hindley Nursery School </w:t>
      </w:r>
      <w:r w:rsidRPr="002C39EE">
        <w:rPr>
          <w:b/>
        </w:rPr>
        <w:t>comply with the Public Sector Equality Duty?</w:t>
      </w:r>
    </w:p>
    <w:p w14:paraId="30F425E7" w14:textId="77777777" w:rsidR="00BE364F" w:rsidRPr="001A4BCC" w:rsidRDefault="00BE364F" w:rsidP="00BE364F">
      <w:r w:rsidRPr="001A4BCC">
        <w:t>The school has a range of policies which make explicit the school’s commitment to actively promoting equality of opportunity for all. The main policies that deal with equality of opportunity are: </w:t>
      </w:r>
    </w:p>
    <w:p w14:paraId="30F425E8" w14:textId="77777777" w:rsidR="00BE364F" w:rsidRPr="001A4BCC" w:rsidRDefault="00BE364F" w:rsidP="00BE364F">
      <w:r w:rsidRPr="001A4BCC">
        <w:t>British Values </w:t>
      </w:r>
    </w:p>
    <w:p w14:paraId="30F425E9" w14:textId="77777777" w:rsidR="00BE364F" w:rsidRPr="001A4BCC" w:rsidRDefault="00BE364F" w:rsidP="00BE364F">
      <w:r w:rsidRPr="001A4BCC">
        <w:t xml:space="preserve">Accessibility </w:t>
      </w:r>
      <w:r w:rsidR="002C39EE">
        <w:t>Plan</w:t>
      </w:r>
    </w:p>
    <w:p w14:paraId="30F425EA" w14:textId="77777777" w:rsidR="00BE364F" w:rsidRPr="001A4BCC" w:rsidRDefault="00BE364F" w:rsidP="00BE364F">
      <w:r w:rsidRPr="001A4BCC">
        <w:t>Equality and Diversity policy </w:t>
      </w:r>
    </w:p>
    <w:p w14:paraId="30F425EB" w14:textId="77777777" w:rsidR="00BE364F" w:rsidRPr="001A4BCC" w:rsidRDefault="00BE364F" w:rsidP="00BE364F">
      <w:r w:rsidRPr="001A4BCC">
        <w:t>SEND policy </w:t>
      </w:r>
    </w:p>
    <w:p w14:paraId="30F425EC" w14:textId="77777777" w:rsidR="00BE364F" w:rsidRPr="001A4BCC" w:rsidRDefault="00BE364F" w:rsidP="00BE364F">
      <w:r w:rsidRPr="001A4BCC">
        <w:t>Behaviour policy </w:t>
      </w:r>
    </w:p>
    <w:p w14:paraId="30F425ED" w14:textId="77777777" w:rsidR="00BE364F" w:rsidRPr="001A4BCC" w:rsidRDefault="002C39EE" w:rsidP="00BE364F">
      <w:r>
        <w:t>Hindley Nursery</w:t>
      </w:r>
      <w:r w:rsidR="00BE364F" w:rsidRPr="001A4BCC">
        <w:t xml:space="preserve"> School prides itself on being an inclusive school that cares for every individual child. In doing so, we promote and deliver a range of strategies to ensure that we comply with the Public Sector Equality Duty.   It is through </w:t>
      </w:r>
      <w:r>
        <w:t xml:space="preserve">our keyperson system and our open and honest conversations with children that we would support any child’s or parents understanding or misconceptions of equality and diversity. </w:t>
      </w:r>
    </w:p>
    <w:p w14:paraId="30F425EE" w14:textId="77777777" w:rsidR="00BE364F" w:rsidRPr="002C39EE" w:rsidRDefault="00BE364F" w:rsidP="00BE364F">
      <w:pPr>
        <w:rPr>
          <w:b/>
        </w:rPr>
      </w:pPr>
      <w:r w:rsidRPr="002C39EE">
        <w:rPr>
          <w:b/>
        </w:rPr>
        <w:t>Equality objectives</w:t>
      </w:r>
    </w:p>
    <w:p w14:paraId="30F425EF" w14:textId="77777777" w:rsidR="00BE364F" w:rsidRPr="001A4BCC" w:rsidRDefault="00BE364F" w:rsidP="00BE364F">
      <w:r w:rsidRPr="001A4BCC">
        <w:t>Under the Pu</w:t>
      </w:r>
      <w:r w:rsidR="002C39EE">
        <w:t>blic Sector Equality Duty</w:t>
      </w:r>
      <w:r w:rsidRPr="001A4BCC">
        <w:t xml:space="preserve"> the school is required to set Equality Objectives and our published information must be updated annually. </w:t>
      </w:r>
    </w:p>
    <w:p w14:paraId="30F425F0" w14:textId="41020CCC" w:rsidR="00BE364F" w:rsidRPr="001A4BCC" w:rsidRDefault="00BE364F" w:rsidP="00BE364F">
      <w:r w:rsidRPr="002C39EE">
        <w:rPr>
          <w:b/>
        </w:rPr>
        <w:t>Objective 1:</w:t>
      </w:r>
      <w:r w:rsidRPr="001A4BCC">
        <w:t> </w:t>
      </w:r>
      <w:r w:rsidR="009E5FF6">
        <w:t xml:space="preserve">To ensure the </w:t>
      </w:r>
      <w:r w:rsidR="00EB3334">
        <w:t>classroom</w:t>
      </w:r>
      <w:r w:rsidR="009E5FF6">
        <w:t xml:space="preserve"> learning opportunities </w:t>
      </w:r>
      <w:r w:rsidR="00094D06">
        <w:t>have</w:t>
      </w:r>
      <w:r w:rsidR="009E5FF6">
        <w:t xml:space="preserve"> no obvious bias between boys and girls</w:t>
      </w:r>
      <w:r w:rsidR="00376132">
        <w:t xml:space="preserve"> and that all children are encouraged to play or explore in any area of the classroom.  Children will be </w:t>
      </w:r>
      <w:r w:rsidR="001E67B1">
        <w:t>supported</w:t>
      </w:r>
      <w:r w:rsidR="00376132">
        <w:t xml:space="preserve"> to </w:t>
      </w:r>
      <w:r w:rsidR="009D3424">
        <w:t xml:space="preserve">understand any gender stereotyping </w:t>
      </w:r>
      <w:r w:rsidR="000B6C74">
        <w:t xml:space="preserve">and how this can be challenged. </w:t>
      </w:r>
    </w:p>
    <w:p w14:paraId="30F425F1" w14:textId="157EF0A8" w:rsidR="00BE364F" w:rsidRPr="001A4BCC" w:rsidRDefault="00BE364F" w:rsidP="00BE364F">
      <w:r w:rsidRPr="002C39EE">
        <w:rPr>
          <w:b/>
        </w:rPr>
        <w:t>Objective 2:</w:t>
      </w:r>
      <w:r w:rsidRPr="001A4BCC">
        <w:t> To raise awareness of the protected characteristics within the school by having an annual whole-school fo</w:t>
      </w:r>
      <w:r w:rsidR="00407350">
        <w:t xml:space="preserve">cus.  This year’s focus is on </w:t>
      </w:r>
      <w:r w:rsidR="00407350" w:rsidRPr="009E5FF6">
        <w:rPr>
          <w:b/>
        </w:rPr>
        <w:t>'</w:t>
      </w:r>
      <w:r w:rsidR="00127256">
        <w:rPr>
          <w:b/>
        </w:rPr>
        <w:t>Think Equal</w:t>
      </w:r>
      <w:r w:rsidRPr="009E5FF6">
        <w:rPr>
          <w:b/>
        </w:rPr>
        <w:t>'</w:t>
      </w:r>
      <w:r w:rsidRPr="001A4BCC">
        <w:t xml:space="preserve">; thus developing an awareness and understanding of diversity in </w:t>
      </w:r>
      <w:r w:rsidR="009E5FF6">
        <w:t>nursery and beyond.</w:t>
      </w:r>
      <w:r w:rsidR="00127256">
        <w:t xml:space="preserve">  The nursery will use the Think Equal programme</w:t>
      </w:r>
      <w:r w:rsidR="000E604D">
        <w:t xml:space="preserve"> to help support this objective. </w:t>
      </w:r>
    </w:p>
    <w:p w14:paraId="30F425F2" w14:textId="11B2351C" w:rsidR="00BE364F" w:rsidRPr="001A4BCC" w:rsidRDefault="00BE364F" w:rsidP="00BE364F">
      <w:r w:rsidRPr="002C39EE">
        <w:rPr>
          <w:b/>
        </w:rPr>
        <w:t>Objective 3:</w:t>
      </w:r>
      <w:r w:rsidRPr="001A4BCC">
        <w:t> </w:t>
      </w:r>
      <w:r w:rsidR="00D673BD">
        <w:t>Continue t</w:t>
      </w:r>
      <w:r w:rsidR="009E5FF6">
        <w:t>o ensure that all the children in the learning to learn classroom have unbiased access to activities regardless of their gender or special educational needs.</w:t>
      </w:r>
    </w:p>
    <w:p w14:paraId="30F425F3" w14:textId="77777777" w:rsidR="00BE364F" w:rsidRPr="001A4BCC" w:rsidRDefault="00BE364F" w:rsidP="00BE364F">
      <w:r w:rsidRPr="001A4BCC">
        <w:t> </w:t>
      </w:r>
    </w:p>
    <w:p w14:paraId="30F425F4" w14:textId="6EEF4C0F" w:rsidR="00BE364F" w:rsidRDefault="002C39EE" w:rsidP="00BE364F">
      <w:pPr>
        <w:rPr>
          <w:b/>
        </w:rPr>
      </w:pPr>
      <w:r w:rsidRPr="002C39EE">
        <w:rPr>
          <w:b/>
        </w:rPr>
        <w:t xml:space="preserve">Reviewed </w:t>
      </w:r>
      <w:r w:rsidR="00961637">
        <w:rPr>
          <w:b/>
        </w:rPr>
        <w:t>May</w:t>
      </w:r>
      <w:r w:rsidRPr="002C39EE">
        <w:rPr>
          <w:b/>
        </w:rPr>
        <w:t xml:space="preserve"> 202</w:t>
      </w:r>
      <w:r w:rsidR="00961637">
        <w:rPr>
          <w:b/>
        </w:rPr>
        <w:t>4</w:t>
      </w:r>
    </w:p>
    <w:p w14:paraId="30F425F5" w14:textId="77777777" w:rsidR="002C39EE" w:rsidRDefault="002C39EE" w:rsidP="00BE364F">
      <w:pPr>
        <w:rPr>
          <w:b/>
        </w:rPr>
      </w:pPr>
    </w:p>
    <w:p w14:paraId="30F425F6" w14:textId="77777777" w:rsidR="002C39EE" w:rsidRDefault="002C39EE" w:rsidP="00BE364F">
      <w:pPr>
        <w:rPr>
          <w:b/>
        </w:rPr>
      </w:pPr>
      <w:r>
        <w:rPr>
          <w:b/>
        </w:rPr>
        <w:t>Signed on behalf of governors…………………………………………………………………………………..</w:t>
      </w:r>
    </w:p>
    <w:p w14:paraId="30F425F7" w14:textId="77777777" w:rsidR="002C39EE" w:rsidRPr="002C39EE" w:rsidRDefault="002C39EE" w:rsidP="00BE364F">
      <w:pPr>
        <w:rPr>
          <w:b/>
        </w:rPr>
      </w:pPr>
      <w:r>
        <w:rPr>
          <w:b/>
        </w:rPr>
        <w:t>Date…………………………………………………………..</w:t>
      </w:r>
    </w:p>
    <w:p w14:paraId="30F425F8" w14:textId="77777777" w:rsidR="00CE0D81" w:rsidRDefault="00CE0D81"/>
    <w:sectPr w:rsidR="00CE0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3E66"/>
    <w:multiLevelType w:val="hybridMultilevel"/>
    <w:tmpl w:val="15F8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7B2C"/>
    <w:multiLevelType w:val="hybridMultilevel"/>
    <w:tmpl w:val="4AE0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15526"/>
    <w:multiLevelType w:val="hybridMultilevel"/>
    <w:tmpl w:val="D18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6D97"/>
    <w:multiLevelType w:val="hybridMultilevel"/>
    <w:tmpl w:val="54BC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93067">
    <w:abstractNumId w:val="3"/>
  </w:num>
  <w:num w:numId="2" w16cid:durableId="645012820">
    <w:abstractNumId w:val="2"/>
  </w:num>
  <w:num w:numId="3" w16cid:durableId="2087147114">
    <w:abstractNumId w:val="1"/>
  </w:num>
  <w:num w:numId="4" w16cid:durableId="125895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64F"/>
    <w:rsid w:val="000424AB"/>
    <w:rsid w:val="00094D06"/>
    <w:rsid w:val="000B6C74"/>
    <w:rsid w:val="000E604D"/>
    <w:rsid w:val="00127256"/>
    <w:rsid w:val="001E67B1"/>
    <w:rsid w:val="002C39EE"/>
    <w:rsid w:val="00376132"/>
    <w:rsid w:val="00407350"/>
    <w:rsid w:val="007B06A1"/>
    <w:rsid w:val="00961637"/>
    <w:rsid w:val="009D3424"/>
    <w:rsid w:val="009E5FF6"/>
    <w:rsid w:val="00B413B3"/>
    <w:rsid w:val="00B514D1"/>
    <w:rsid w:val="00BE364F"/>
    <w:rsid w:val="00C3522D"/>
    <w:rsid w:val="00CE0D81"/>
    <w:rsid w:val="00D673BD"/>
    <w:rsid w:val="00E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25CC"/>
  <w15:chartTrackingRefBased/>
  <w15:docId w15:val="{BA92ED9C-9E54-4739-8B95-F10C2B1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2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97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10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9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06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19017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6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304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1/2260/contents/m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lation.gov.uk/uksi/2011/2260/contents/ma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on.gov.uk/ukpga/2010/15/cont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egislation.gov.uk/ukpga/2010/15/contents" TargetMode="External"/><Relationship Id="rId10" Type="http://schemas.openxmlformats.org/officeDocument/2006/relationships/hyperlink" Target="https://www.gov.uk/government/publications/equality-act-2010-advice-for-schoo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315587/Equality_Act_Advice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Lewis</dc:creator>
  <cp:keywords/>
  <dc:description/>
  <cp:lastModifiedBy>Rachel Lewis</cp:lastModifiedBy>
  <cp:revision>14</cp:revision>
  <dcterms:created xsi:type="dcterms:W3CDTF">2022-03-10T15:03:00Z</dcterms:created>
  <dcterms:modified xsi:type="dcterms:W3CDTF">2024-05-17T13:16:00Z</dcterms:modified>
</cp:coreProperties>
</file>