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AE9" w:rsidRPr="00F84A41" w:rsidRDefault="009C1AE9" w:rsidP="009C1AE9">
      <w:pPr>
        <w:spacing w:after="0"/>
        <w:rPr>
          <w:b/>
        </w:rPr>
      </w:pPr>
      <w:r w:rsidRPr="00F84A41">
        <w:rPr>
          <w:b/>
        </w:rPr>
        <w:t xml:space="preserve">Intent: </w:t>
      </w:r>
    </w:p>
    <w:p w:rsidR="00F84A41" w:rsidRPr="00F84A41" w:rsidRDefault="00F84A41" w:rsidP="00F84A41">
      <w:pPr>
        <w:shd w:val="clear" w:color="auto" w:fill="FFFFFF"/>
        <w:spacing w:line="390" w:lineRule="atLeast"/>
        <w:rPr>
          <w:rFonts w:eastAsia="Times New Roman" w:cs="Arial"/>
          <w:color w:val="333333"/>
          <w:lang w:eastAsia="en-GB"/>
        </w:rPr>
      </w:pPr>
      <w:r w:rsidRPr="00F84A41">
        <w:rPr>
          <w:rFonts w:cs="Times New Roman"/>
        </w:rPr>
        <w:t xml:space="preserve">At Hindley Nursery School we will provide activities that allow children to </w:t>
      </w:r>
      <w:r w:rsidRPr="00F84A41">
        <w:rPr>
          <w:rFonts w:eastAsia="Times New Roman" w:cs="Arial"/>
          <w:color w:val="333333"/>
          <w:lang w:eastAsia="en-GB"/>
        </w:rPr>
        <w:t>develop key skills in counting, calculating and using numbers, as well as matching, classifying, recognising patterns, shapes and measures.  We build problem solving and mathematical learning into all aspects of the curriculum to ensure it takes place in a meaningful context for children.</w:t>
      </w:r>
    </w:p>
    <w:p w:rsidR="009C1AE9" w:rsidRPr="00F84A41" w:rsidRDefault="009C1AE9" w:rsidP="009C1AE9">
      <w:pPr>
        <w:spacing w:after="0"/>
        <w:rPr>
          <w:b/>
        </w:rPr>
      </w:pPr>
    </w:p>
    <w:p w:rsidR="009C1AE9" w:rsidRPr="00F84A41" w:rsidRDefault="009C1AE9" w:rsidP="009C1AE9">
      <w:pPr>
        <w:rPr>
          <w:b/>
        </w:rPr>
      </w:pPr>
      <w:r w:rsidRPr="00F84A41">
        <w:rPr>
          <w:b/>
        </w:rPr>
        <w:t>We intend to:</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Provide opportunities for children to listen to and join in with number rhymes and songs and play mathematical games</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Give children opportunities to develop problem solving and thinking skills in meaningful contexts</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Encourage children to count in a variety of situations and play activities</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Provide activities that include sorting, comparing, classifying, matching and sequencing</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Support children to recognise and recreate patterns</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Support children’s awareness of shape, space and measure.</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Encourage children to begin to use and recognise numbers</w:t>
      </w:r>
    </w:p>
    <w:p w:rsidR="00F84A41" w:rsidRPr="00F84A41" w:rsidRDefault="00F84A41" w:rsidP="00F84A41">
      <w:pPr>
        <w:numPr>
          <w:ilvl w:val="0"/>
          <w:numId w:val="13"/>
        </w:numPr>
        <w:shd w:val="clear" w:color="auto" w:fill="FFFFFF"/>
        <w:spacing w:before="100" w:beforeAutospacing="1" w:after="100" w:afterAutospacing="1" w:line="390" w:lineRule="atLeast"/>
        <w:ind w:left="-90"/>
        <w:rPr>
          <w:rFonts w:eastAsia="Times New Roman" w:cs="Arial"/>
          <w:color w:val="333333"/>
          <w:lang w:eastAsia="en-GB"/>
        </w:rPr>
      </w:pPr>
      <w:r w:rsidRPr="00F84A41">
        <w:rPr>
          <w:rFonts w:eastAsia="Times New Roman" w:cs="Arial"/>
          <w:color w:val="333333"/>
          <w:lang w:eastAsia="en-GB"/>
        </w:rPr>
        <w:t>Provide practical activities that encourage children to record numbers in ways that are meaningful to them – mathematical mark making</w:t>
      </w:r>
    </w:p>
    <w:p w:rsidR="00F84A41" w:rsidRPr="00F84A41" w:rsidRDefault="009C1AE9" w:rsidP="00F84A41">
      <w:pPr>
        <w:rPr>
          <w:b/>
          <w:i/>
        </w:rPr>
      </w:pPr>
      <w:r w:rsidRPr="00F84A41">
        <w:rPr>
          <w:b/>
          <w:i/>
        </w:rPr>
        <w:t>Approach</w:t>
      </w:r>
    </w:p>
    <w:p w:rsidR="00F84A41" w:rsidRPr="00F84A41" w:rsidRDefault="00F84A41" w:rsidP="00F84A41">
      <w:pPr>
        <w:rPr>
          <w:b/>
          <w:i/>
        </w:rPr>
      </w:pPr>
      <w:r w:rsidRPr="00F84A41">
        <w:rPr>
          <w:rFonts w:eastAsia="Times New Roman" w:cs="Arial"/>
          <w:color w:val="333333"/>
          <w:lang w:eastAsia="en-GB"/>
        </w:rPr>
        <w:t>Practitioners aim to provide a learning environment that is mathematically rich and promotes problem solving and thinking skills. Correct mathematical language is modelled and children are encouraged to use correct language. Mathematical experiences are promoted through areas of continuous provision to encourage children to talk about, describe and begin to understand how to count, use numbers and work with shape, space and measures. Practitioners build these experiences into play activities across the indoor and outdoor learning environments. The experiences are combined with adult led activities to target, support and challenge children and are complemented by activities that take place as part of the daily routines.</w:t>
      </w: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Default="00E626CA" w:rsidP="00E626CA">
      <w:pPr>
        <w:rPr>
          <w:sz w:val="24"/>
          <w:szCs w:val="24"/>
        </w:rPr>
      </w:pPr>
    </w:p>
    <w:p w:rsidR="00E626CA" w:rsidRPr="0087421D" w:rsidRDefault="00E626CA" w:rsidP="00E626CA">
      <w:pPr>
        <w:rPr>
          <w:sz w:val="24"/>
          <w:szCs w:val="24"/>
        </w:rPr>
      </w:pPr>
    </w:p>
    <w:tbl>
      <w:tblPr>
        <w:tblStyle w:val="TableGrid"/>
        <w:tblW w:w="9640" w:type="dxa"/>
        <w:tblInd w:w="-147" w:type="dxa"/>
        <w:tblLook w:val="04A0" w:firstRow="1" w:lastRow="0" w:firstColumn="1" w:lastColumn="0" w:noHBand="0" w:noVBand="1"/>
      </w:tblPr>
      <w:tblGrid>
        <w:gridCol w:w="1781"/>
        <w:gridCol w:w="3760"/>
        <w:gridCol w:w="4099"/>
      </w:tblGrid>
      <w:tr w:rsidR="00E626CA" w:rsidRPr="00E626CA" w:rsidTr="008D3B53">
        <w:tc>
          <w:tcPr>
            <w:tcW w:w="9640" w:type="dxa"/>
            <w:gridSpan w:val="3"/>
            <w:shd w:val="clear" w:color="auto" w:fill="DEEAF6" w:themeFill="accent1" w:themeFillTint="33"/>
          </w:tcPr>
          <w:p w:rsidR="00E626CA" w:rsidRPr="00E626CA" w:rsidRDefault="00EB3659" w:rsidP="00E626CA">
            <w:pPr>
              <w:jc w:val="center"/>
              <w:rPr>
                <w:b/>
              </w:rPr>
            </w:pPr>
            <w:r>
              <w:rPr>
                <w:b/>
              </w:rPr>
              <w:lastRenderedPageBreak/>
              <w:t>MATHEMATICAL</w:t>
            </w:r>
            <w:r w:rsidR="009F36BA">
              <w:rPr>
                <w:b/>
              </w:rPr>
              <w:t xml:space="preserve"> DEVELOPMENT</w:t>
            </w:r>
            <w:r w:rsidR="00E626CA">
              <w:rPr>
                <w:b/>
              </w:rPr>
              <w:t xml:space="preserve">: </w:t>
            </w:r>
            <w:r>
              <w:rPr>
                <w:b/>
              </w:rPr>
              <w:t>NUMBER</w:t>
            </w:r>
          </w:p>
          <w:p w:rsidR="00E626CA" w:rsidRPr="00E626CA" w:rsidRDefault="00E626CA" w:rsidP="00E626CA"/>
        </w:tc>
      </w:tr>
      <w:tr w:rsidR="008D3B53" w:rsidRPr="00E626CA" w:rsidTr="008D3B53">
        <w:tc>
          <w:tcPr>
            <w:tcW w:w="1781" w:type="dxa"/>
          </w:tcPr>
          <w:p w:rsidR="00E626CA" w:rsidRPr="00E626CA" w:rsidRDefault="00E626CA" w:rsidP="00E626CA"/>
        </w:tc>
        <w:tc>
          <w:tcPr>
            <w:tcW w:w="3760" w:type="dxa"/>
          </w:tcPr>
          <w:p w:rsidR="00E626CA" w:rsidRPr="00E626CA" w:rsidRDefault="00E626CA" w:rsidP="00E626CA">
            <w:pPr>
              <w:rPr>
                <w:b/>
              </w:rPr>
            </w:pPr>
            <w:r w:rsidRPr="00E626CA">
              <w:rPr>
                <w:b/>
              </w:rPr>
              <w:t>Sequence of learning</w:t>
            </w:r>
          </w:p>
        </w:tc>
        <w:tc>
          <w:tcPr>
            <w:tcW w:w="4099" w:type="dxa"/>
          </w:tcPr>
          <w:p w:rsidR="00E626CA" w:rsidRPr="00E626CA" w:rsidRDefault="00E626CA" w:rsidP="00E626CA">
            <w:pPr>
              <w:rPr>
                <w:b/>
              </w:rPr>
            </w:pPr>
            <w:r w:rsidRPr="00E626CA">
              <w:rPr>
                <w:b/>
              </w:rPr>
              <w:t>Our unique Approach</w:t>
            </w:r>
          </w:p>
        </w:tc>
      </w:tr>
      <w:tr w:rsidR="008D3B53" w:rsidRPr="00E626CA" w:rsidTr="008D3B53">
        <w:tc>
          <w:tcPr>
            <w:tcW w:w="1781" w:type="dxa"/>
          </w:tcPr>
          <w:p w:rsidR="00E626CA" w:rsidRPr="00E626CA" w:rsidRDefault="00E626CA" w:rsidP="00E626CA">
            <w:pPr>
              <w:rPr>
                <w:b/>
              </w:rPr>
            </w:pPr>
            <w:r w:rsidRPr="00E626CA">
              <w:rPr>
                <w:b/>
              </w:rPr>
              <w:t>Two Year Old End Point</w:t>
            </w:r>
          </w:p>
        </w:tc>
        <w:tc>
          <w:tcPr>
            <w:tcW w:w="3760" w:type="dxa"/>
          </w:tcPr>
          <w:tbl>
            <w:tblPr>
              <w:tblW w:w="0" w:type="auto"/>
              <w:tblBorders>
                <w:top w:val="nil"/>
                <w:left w:val="nil"/>
                <w:bottom w:val="nil"/>
                <w:right w:val="nil"/>
              </w:tblBorders>
              <w:tblLook w:val="0000" w:firstRow="0" w:lastRow="0" w:firstColumn="0" w:lastColumn="0" w:noHBand="0" w:noVBand="0"/>
            </w:tblPr>
            <w:tblGrid>
              <w:gridCol w:w="236"/>
              <w:gridCol w:w="3308"/>
            </w:tblGrid>
            <w:tr w:rsidR="0080058F" w:rsidRPr="0080058F" w:rsidTr="006F3E26">
              <w:trPr>
                <w:trHeight w:val="1144"/>
              </w:trPr>
              <w:tc>
                <w:tcPr>
                  <w:tcW w:w="236" w:type="dxa"/>
                </w:tcPr>
                <w:p w:rsidR="0080058F" w:rsidRPr="0080058F" w:rsidRDefault="0080058F" w:rsidP="0080058F">
                  <w:pPr>
                    <w:autoSpaceDE w:val="0"/>
                    <w:autoSpaceDN w:val="0"/>
                    <w:adjustRightInd w:val="0"/>
                    <w:spacing w:after="0" w:line="240" w:lineRule="auto"/>
                    <w:rPr>
                      <w:rFonts w:ascii="Symbol" w:hAnsi="Symbol"/>
                      <w:sz w:val="24"/>
                      <w:szCs w:val="24"/>
                    </w:rPr>
                  </w:pPr>
                </w:p>
                <w:p w:rsidR="0080058F" w:rsidRPr="0080058F" w:rsidRDefault="0080058F" w:rsidP="0080058F">
                  <w:pPr>
                    <w:autoSpaceDE w:val="0"/>
                    <w:autoSpaceDN w:val="0"/>
                    <w:adjustRightInd w:val="0"/>
                    <w:spacing w:after="0" w:line="240" w:lineRule="auto"/>
                    <w:rPr>
                      <w:rFonts w:ascii="Calibri" w:hAnsi="Calibri" w:cs="Calibri"/>
                      <w:color w:val="000000"/>
                      <w:sz w:val="20"/>
                      <w:szCs w:val="20"/>
                    </w:rPr>
                  </w:pPr>
                </w:p>
              </w:tc>
              <w:tc>
                <w:tcPr>
                  <w:tcW w:w="3308" w:type="dxa"/>
                </w:tcPr>
                <w:tbl>
                  <w:tblPr>
                    <w:tblW w:w="0" w:type="auto"/>
                    <w:tblBorders>
                      <w:top w:val="nil"/>
                      <w:left w:val="nil"/>
                      <w:bottom w:val="nil"/>
                      <w:right w:val="nil"/>
                    </w:tblBorders>
                    <w:tblLook w:val="0000" w:firstRow="0" w:lastRow="0" w:firstColumn="0" w:lastColumn="0" w:noHBand="0" w:noVBand="0"/>
                  </w:tblPr>
                  <w:tblGrid>
                    <w:gridCol w:w="3092"/>
                  </w:tblGrid>
                  <w:tr w:rsidR="00E92CD1" w:rsidRPr="00E92CD1">
                    <w:trPr>
                      <w:trHeight w:val="1098"/>
                    </w:trPr>
                    <w:tc>
                      <w:tcPr>
                        <w:tcW w:w="0" w:type="auto"/>
                      </w:tcPr>
                      <w:p w:rsidR="00E92CD1" w:rsidRPr="00C401E2" w:rsidRDefault="00E92CD1" w:rsidP="00C401E2">
                        <w:pPr>
                          <w:pStyle w:val="ListParagraph"/>
                          <w:numPr>
                            <w:ilvl w:val="0"/>
                            <w:numId w:val="14"/>
                          </w:numPr>
                          <w:autoSpaceDE w:val="0"/>
                          <w:autoSpaceDN w:val="0"/>
                          <w:adjustRightInd w:val="0"/>
                          <w:spacing w:after="0" w:line="240" w:lineRule="auto"/>
                          <w:rPr>
                            <w:rFonts w:ascii="Calibri" w:hAnsi="Calibri" w:cs="Calibri"/>
                            <w:color w:val="000000"/>
                            <w:sz w:val="20"/>
                            <w:szCs w:val="20"/>
                          </w:rPr>
                        </w:pPr>
                        <w:r w:rsidRPr="00C401E2">
                          <w:rPr>
                            <w:rFonts w:ascii="Calibri" w:hAnsi="Calibri" w:cs="Calibri"/>
                            <w:color w:val="000000"/>
                            <w:sz w:val="20"/>
                            <w:szCs w:val="20"/>
                          </w:rPr>
                          <w:t xml:space="preserve">Children say numbers spontaneously through play but without real meaning </w:t>
                        </w:r>
                      </w:p>
                      <w:p w:rsidR="00E92CD1" w:rsidRPr="00C401E2" w:rsidRDefault="00E92CD1" w:rsidP="00C401E2">
                        <w:pPr>
                          <w:pStyle w:val="ListParagraph"/>
                          <w:numPr>
                            <w:ilvl w:val="0"/>
                            <w:numId w:val="14"/>
                          </w:numPr>
                          <w:autoSpaceDE w:val="0"/>
                          <w:autoSpaceDN w:val="0"/>
                          <w:adjustRightInd w:val="0"/>
                          <w:spacing w:after="0" w:line="240" w:lineRule="auto"/>
                          <w:rPr>
                            <w:rFonts w:ascii="Calibri" w:hAnsi="Calibri" w:cs="Calibri"/>
                            <w:color w:val="000000"/>
                            <w:sz w:val="20"/>
                            <w:szCs w:val="20"/>
                          </w:rPr>
                        </w:pPr>
                        <w:r w:rsidRPr="00C401E2">
                          <w:rPr>
                            <w:rFonts w:ascii="Calibri" w:hAnsi="Calibri" w:cs="Calibri"/>
                            <w:color w:val="000000"/>
                            <w:sz w:val="20"/>
                            <w:szCs w:val="20"/>
                          </w:rPr>
                          <w:t xml:space="preserve">Children are curious about numbers in the environment </w:t>
                        </w:r>
                      </w:p>
                      <w:p w:rsidR="00A02BCD" w:rsidRPr="00A02BCD" w:rsidRDefault="00E92CD1" w:rsidP="00A02BCD">
                        <w:pPr>
                          <w:pStyle w:val="ListParagraph"/>
                          <w:numPr>
                            <w:ilvl w:val="0"/>
                            <w:numId w:val="14"/>
                          </w:numPr>
                          <w:autoSpaceDE w:val="0"/>
                          <w:autoSpaceDN w:val="0"/>
                          <w:adjustRightInd w:val="0"/>
                          <w:spacing w:after="0" w:line="240" w:lineRule="auto"/>
                          <w:rPr>
                            <w:rFonts w:ascii="Calibri" w:hAnsi="Calibri" w:cs="Calibri"/>
                            <w:color w:val="000000"/>
                            <w:sz w:val="20"/>
                            <w:szCs w:val="20"/>
                          </w:rPr>
                        </w:pPr>
                        <w:r w:rsidRPr="00C401E2">
                          <w:rPr>
                            <w:rFonts w:ascii="Calibri" w:hAnsi="Calibri" w:cs="Calibri"/>
                            <w:color w:val="000000"/>
                            <w:sz w:val="20"/>
                            <w:szCs w:val="20"/>
                          </w:rPr>
                          <w:t>Childr</w:t>
                        </w:r>
                        <w:r w:rsidR="00C401E2">
                          <w:rPr>
                            <w:rFonts w:ascii="Calibri" w:hAnsi="Calibri" w:cs="Calibri"/>
                            <w:color w:val="000000"/>
                            <w:sz w:val="20"/>
                            <w:szCs w:val="20"/>
                          </w:rPr>
                          <w:t>en recognise ‘how many’ instant</w:t>
                        </w:r>
                        <w:r w:rsidRPr="00C401E2">
                          <w:rPr>
                            <w:rFonts w:ascii="Calibri" w:hAnsi="Calibri" w:cs="Calibri"/>
                            <w:color w:val="000000"/>
                            <w:sz w:val="20"/>
                            <w:szCs w:val="20"/>
                          </w:rPr>
                          <w:t>ly when looking at a small group of objec</w:t>
                        </w:r>
                        <w:r w:rsidR="00A02BCD">
                          <w:rPr>
                            <w:rFonts w:ascii="Calibri" w:hAnsi="Calibri" w:cs="Calibri"/>
                            <w:color w:val="000000"/>
                            <w:sz w:val="20"/>
                            <w:szCs w:val="20"/>
                          </w:rPr>
                          <w:t>ts, e.g. ‘one nose’, ‘two eyes’</w:t>
                        </w:r>
                      </w:p>
                      <w:p w:rsidR="00E92CD1" w:rsidRPr="00E92CD1" w:rsidRDefault="00E92CD1" w:rsidP="00E92CD1">
                        <w:pPr>
                          <w:autoSpaceDE w:val="0"/>
                          <w:autoSpaceDN w:val="0"/>
                          <w:adjustRightInd w:val="0"/>
                          <w:spacing w:after="0" w:line="240" w:lineRule="auto"/>
                          <w:rPr>
                            <w:rFonts w:ascii="Calibri" w:hAnsi="Calibri" w:cs="Calibri"/>
                            <w:color w:val="000000"/>
                            <w:sz w:val="20"/>
                            <w:szCs w:val="20"/>
                          </w:rPr>
                        </w:pPr>
                      </w:p>
                    </w:tc>
                  </w:tr>
                </w:tbl>
                <w:p w:rsidR="0080058F" w:rsidRDefault="0080058F" w:rsidP="00EB3659">
                  <w:pPr>
                    <w:pStyle w:val="Default"/>
                    <w:rPr>
                      <w:sz w:val="20"/>
                      <w:szCs w:val="20"/>
                    </w:rPr>
                  </w:pPr>
                </w:p>
              </w:tc>
            </w:tr>
          </w:tbl>
          <w:p w:rsidR="00E626CA" w:rsidRPr="00E626CA" w:rsidRDefault="00E626CA" w:rsidP="006F3E26">
            <w:pPr>
              <w:ind w:left="720"/>
            </w:pPr>
          </w:p>
        </w:tc>
        <w:tc>
          <w:tcPr>
            <w:tcW w:w="4099" w:type="dxa"/>
          </w:tcPr>
          <w:p w:rsidR="00E626CA" w:rsidRDefault="00C401E2" w:rsidP="00C401E2">
            <w:pPr>
              <w:pStyle w:val="ListParagraph"/>
              <w:numPr>
                <w:ilvl w:val="0"/>
                <w:numId w:val="14"/>
              </w:numPr>
            </w:pPr>
            <w:r>
              <w:t>Lots of opportunity to explore the number of objects in a range of different ways</w:t>
            </w:r>
          </w:p>
          <w:p w:rsidR="00C401E2" w:rsidRDefault="00C401E2" w:rsidP="00C401E2">
            <w:pPr>
              <w:pStyle w:val="ListParagraph"/>
              <w:numPr>
                <w:ilvl w:val="0"/>
                <w:numId w:val="14"/>
              </w:numPr>
            </w:pPr>
            <w:r>
              <w:t>Adults to model counting</w:t>
            </w:r>
          </w:p>
          <w:p w:rsidR="00C401E2" w:rsidRDefault="00C401E2" w:rsidP="00C401E2">
            <w:pPr>
              <w:pStyle w:val="ListParagraph"/>
              <w:numPr>
                <w:ilvl w:val="0"/>
                <w:numId w:val="14"/>
              </w:numPr>
            </w:pPr>
            <w:r>
              <w:t>Simple problems to solve, one missing… two more</w:t>
            </w:r>
            <w:proofErr w:type="gramStart"/>
            <w:r>
              <w:t>..</w:t>
            </w:r>
            <w:proofErr w:type="gramEnd"/>
          </w:p>
          <w:p w:rsidR="00C401E2" w:rsidRDefault="00C401E2" w:rsidP="00C401E2">
            <w:pPr>
              <w:pStyle w:val="ListParagraph"/>
              <w:numPr>
                <w:ilvl w:val="0"/>
                <w:numId w:val="14"/>
              </w:numPr>
            </w:pPr>
            <w:r>
              <w:t>Counting opportunities in continuous provision</w:t>
            </w:r>
          </w:p>
          <w:p w:rsidR="00643936" w:rsidRPr="00E626CA" w:rsidRDefault="00643936" w:rsidP="00C401E2">
            <w:pPr>
              <w:pStyle w:val="ListParagraph"/>
              <w:numPr>
                <w:ilvl w:val="0"/>
                <w:numId w:val="14"/>
              </w:numPr>
            </w:pPr>
            <w:r>
              <w:t>Comparing amounts – lots, more, same</w:t>
            </w:r>
          </w:p>
        </w:tc>
      </w:tr>
      <w:tr w:rsidR="008D3B53" w:rsidRPr="00E626CA" w:rsidTr="008D3B53">
        <w:tc>
          <w:tcPr>
            <w:tcW w:w="1781" w:type="dxa"/>
          </w:tcPr>
          <w:p w:rsidR="00E626CA" w:rsidRPr="00E626CA" w:rsidRDefault="00E626CA" w:rsidP="00E626CA">
            <w:pPr>
              <w:rPr>
                <w:b/>
              </w:rPr>
            </w:pPr>
            <w:r w:rsidRPr="00E626CA">
              <w:rPr>
                <w:b/>
              </w:rPr>
              <w:t>Rising Three End Point</w:t>
            </w:r>
          </w:p>
        </w:tc>
        <w:tc>
          <w:tcPr>
            <w:tcW w:w="3760" w:type="dxa"/>
          </w:tcPr>
          <w:p w:rsidR="00E92CD1" w:rsidRDefault="00E92CD1" w:rsidP="00C401E2">
            <w:pPr>
              <w:pStyle w:val="Default"/>
              <w:numPr>
                <w:ilvl w:val="0"/>
                <w:numId w:val="15"/>
              </w:numPr>
              <w:rPr>
                <w:sz w:val="20"/>
                <w:szCs w:val="20"/>
              </w:rPr>
            </w:pPr>
            <w:r>
              <w:rPr>
                <w:sz w:val="20"/>
                <w:szCs w:val="20"/>
              </w:rPr>
              <w:t xml:space="preserve">Children enjoy joining in with number rhymes, songs and chants </w:t>
            </w:r>
          </w:p>
          <w:p w:rsidR="00E92CD1" w:rsidRDefault="00E92CD1" w:rsidP="00C401E2">
            <w:pPr>
              <w:pStyle w:val="Default"/>
              <w:numPr>
                <w:ilvl w:val="0"/>
                <w:numId w:val="15"/>
              </w:numPr>
              <w:rPr>
                <w:sz w:val="20"/>
                <w:szCs w:val="20"/>
              </w:rPr>
            </w:pPr>
            <w:r>
              <w:rPr>
                <w:sz w:val="20"/>
                <w:szCs w:val="20"/>
              </w:rPr>
              <w:t xml:space="preserve">Children begin to know the sequence of numbers and can recite numbers with increasing accuracy to ten (rote counting) </w:t>
            </w:r>
          </w:p>
          <w:p w:rsidR="00E92CD1" w:rsidRDefault="00E92CD1" w:rsidP="00C401E2">
            <w:pPr>
              <w:pStyle w:val="Default"/>
              <w:numPr>
                <w:ilvl w:val="0"/>
                <w:numId w:val="15"/>
              </w:numPr>
              <w:rPr>
                <w:sz w:val="20"/>
                <w:szCs w:val="20"/>
              </w:rPr>
            </w:pPr>
            <w:r>
              <w:rPr>
                <w:sz w:val="20"/>
                <w:szCs w:val="20"/>
              </w:rPr>
              <w:t>Child</w:t>
            </w:r>
            <w:r w:rsidR="00C401E2">
              <w:rPr>
                <w:sz w:val="20"/>
                <w:szCs w:val="20"/>
              </w:rPr>
              <w:t>ren begin to develop understand</w:t>
            </w:r>
            <w:r>
              <w:rPr>
                <w:sz w:val="20"/>
                <w:szCs w:val="20"/>
              </w:rPr>
              <w:t xml:space="preserve">ing of one-to-one correspondence </w:t>
            </w:r>
          </w:p>
          <w:p w:rsidR="00E92CD1" w:rsidRDefault="00E92CD1" w:rsidP="00C401E2">
            <w:pPr>
              <w:pStyle w:val="Default"/>
              <w:numPr>
                <w:ilvl w:val="0"/>
                <w:numId w:val="15"/>
              </w:numPr>
              <w:rPr>
                <w:sz w:val="20"/>
                <w:szCs w:val="20"/>
              </w:rPr>
            </w:pPr>
            <w:r>
              <w:rPr>
                <w:sz w:val="20"/>
                <w:szCs w:val="20"/>
              </w:rPr>
              <w:t xml:space="preserve">Children begin to recognise numerals which are personal to them, for e.g. ‘3’ because they are ‘3 years old’ </w:t>
            </w:r>
          </w:p>
          <w:p w:rsidR="00E626CA" w:rsidRPr="00E626CA" w:rsidRDefault="00E626CA" w:rsidP="00C401E2">
            <w:pPr>
              <w:pStyle w:val="Default"/>
            </w:pPr>
          </w:p>
        </w:tc>
        <w:tc>
          <w:tcPr>
            <w:tcW w:w="4099" w:type="dxa"/>
          </w:tcPr>
          <w:p w:rsidR="00E626CA" w:rsidRDefault="00C401E2" w:rsidP="00C401E2">
            <w:pPr>
              <w:pStyle w:val="ListParagraph"/>
              <w:numPr>
                <w:ilvl w:val="0"/>
                <w:numId w:val="15"/>
              </w:numPr>
            </w:pPr>
            <w:r>
              <w:t>Number rhymes and songs using props</w:t>
            </w:r>
          </w:p>
          <w:p w:rsidR="00C401E2" w:rsidRDefault="00C401E2" w:rsidP="00C401E2">
            <w:pPr>
              <w:pStyle w:val="ListParagraph"/>
              <w:numPr>
                <w:ilvl w:val="0"/>
                <w:numId w:val="15"/>
              </w:numPr>
            </w:pPr>
            <w:r>
              <w:t>Model and children join in with counting</w:t>
            </w:r>
          </w:p>
          <w:p w:rsidR="00C401E2" w:rsidRDefault="00C401E2" w:rsidP="00C401E2">
            <w:pPr>
              <w:pStyle w:val="ListParagraph"/>
              <w:numPr>
                <w:ilvl w:val="0"/>
                <w:numId w:val="15"/>
              </w:numPr>
            </w:pPr>
            <w:r>
              <w:t>Structured mathematical activities.</w:t>
            </w:r>
          </w:p>
          <w:p w:rsidR="00CE3CF4" w:rsidRPr="00E626CA" w:rsidRDefault="00CE3CF4" w:rsidP="00C401E2">
            <w:pPr>
              <w:pStyle w:val="ListParagraph"/>
              <w:numPr>
                <w:ilvl w:val="0"/>
                <w:numId w:val="15"/>
              </w:numPr>
            </w:pPr>
            <w:r>
              <w:t>Routines and transitions include lots of counting opportunities.</w:t>
            </w:r>
          </w:p>
        </w:tc>
      </w:tr>
      <w:tr w:rsidR="008D3B53" w:rsidRPr="00E626CA" w:rsidTr="008D3B53">
        <w:tc>
          <w:tcPr>
            <w:tcW w:w="1781" w:type="dxa"/>
          </w:tcPr>
          <w:p w:rsidR="00E626CA" w:rsidRPr="00E626CA" w:rsidRDefault="00E626CA" w:rsidP="00E626CA">
            <w:pPr>
              <w:rPr>
                <w:b/>
              </w:rPr>
            </w:pPr>
            <w:r w:rsidRPr="00E626CA">
              <w:rPr>
                <w:b/>
              </w:rPr>
              <w:t>Pre-School End Point</w:t>
            </w:r>
          </w:p>
        </w:tc>
        <w:tc>
          <w:tcPr>
            <w:tcW w:w="3760" w:type="dxa"/>
          </w:tcPr>
          <w:p w:rsidR="00E92CD1" w:rsidRDefault="00E92CD1" w:rsidP="00C401E2">
            <w:pPr>
              <w:pStyle w:val="Default"/>
              <w:numPr>
                <w:ilvl w:val="0"/>
                <w:numId w:val="16"/>
              </w:numPr>
              <w:rPr>
                <w:sz w:val="20"/>
                <w:szCs w:val="20"/>
              </w:rPr>
            </w:pPr>
            <w:r>
              <w:rPr>
                <w:sz w:val="20"/>
                <w:szCs w:val="20"/>
              </w:rPr>
              <w:t xml:space="preserve">Children instantly recognise quantity without object counting (up to 3) </w:t>
            </w:r>
          </w:p>
          <w:p w:rsidR="00E92CD1" w:rsidRDefault="00E92CD1" w:rsidP="00C401E2">
            <w:pPr>
              <w:pStyle w:val="Default"/>
              <w:numPr>
                <w:ilvl w:val="0"/>
                <w:numId w:val="16"/>
              </w:numPr>
              <w:rPr>
                <w:sz w:val="20"/>
                <w:szCs w:val="20"/>
              </w:rPr>
            </w:pPr>
            <w:r>
              <w:rPr>
                <w:sz w:val="20"/>
                <w:szCs w:val="20"/>
              </w:rPr>
              <w:t xml:space="preserve">Children can count objects to 10 with one to one correspondence </w:t>
            </w:r>
          </w:p>
          <w:p w:rsidR="00E92CD1" w:rsidRDefault="00E92CD1" w:rsidP="00C401E2">
            <w:pPr>
              <w:pStyle w:val="Default"/>
              <w:numPr>
                <w:ilvl w:val="0"/>
                <w:numId w:val="16"/>
              </w:numPr>
              <w:rPr>
                <w:sz w:val="20"/>
                <w:szCs w:val="20"/>
              </w:rPr>
            </w:pPr>
            <w:r>
              <w:rPr>
                <w:sz w:val="20"/>
                <w:szCs w:val="20"/>
              </w:rPr>
              <w:t xml:space="preserve">Children can confidently say ‘how many’ there are </w:t>
            </w:r>
          </w:p>
          <w:p w:rsidR="00E626CA" w:rsidRPr="00C401E2" w:rsidRDefault="00E92CD1" w:rsidP="00C401E2">
            <w:pPr>
              <w:pStyle w:val="Default"/>
              <w:numPr>
                <w:ilvl w:val="0"/>
                <w:numId w:val="16"/>
              </w:numPr>
              <w:rPr>
                <w:sz w:val="20"/>
                <w:szCs w:val="20"/>
              </w:rPr>
            </w:pPr>
            <w:r>
              <w:rPr>
                <w:sz w:val="20"/>
                <w:szCs w:val="20"/>
              </w:rPr>
              <w:t xml:space="preserve">Children begin to write and make makes to represent numbers </w:t>
            </w:r>
          </w:p>
        </w:tc>
        <w:tc>
          <w:tcPr>
            <w:tcW w:w="4099" w:type="dxa"/>
          </w:tcPr>
          <w:p w:rsidR="00E626CA" w:rsidRPr="00E626CA" w:rsidRDefault="00CE3CF4" w:rsidP="00CE3CF4">
            <w:pPr>
              <w:pStyle w:val="ListParagraph"/>
              <w:numPr>
                <w:ilvl w:val="0"/>
                <w:numId w:val="16"/>
              </w:numPr>
            </w:pPr>
            <w:r>
              <w:t xml:space="preserve">Practitioners model counting, adding up, </w:t>
            </w:r>
            <w:proofErr w:type="spellStart"/>
            <w:r>
              <w:t>subitising</w:t>
            </w:r>
            <w:proofErr w:type="spellEnd"/>
            <w:r>
              <w:t xml:space="preserve"> and writing numerals. </w:t>
            </w:r>
          </w:p>
        </w:tc>
      </w:tr>
    </w:tbl>
    <w:p w:rsidR="00CE0D81" w:rsidRDefault="00CE0D81"/>
    <w:p w:rsidR="008D3B53" w:rsidRDefault="008D3B53"/>
    <w:p w:rsidR="00CE3CF4" w:rsidRDefault="00CE3CF4"/>
    <w:p w:rsidR="00CE3CF4" w:rsidRDefault="00CE3CF4"/>
    <w:p w:rsidR="00CE3CF4" w:rsidRDefault="00CE3CF4"/>
    <w:p w:rsidR="00CE3CF4" w:rsidRDefault="00CE3CF4"/>
    <w:p w:rsidR="00CE3CF4" w:rsidRDefault="00CE3CF4"/>
    <w:p w:rsidR="00CE3CF4" w:rsidRDefault="00CE3CF4"/>
    <w:p w:rsidR="009F36BA" w:rsidRDefault="009F36BA"/>
    <w:tbl>
      <w:tblPr>
        <w:tblStyle w:val="TableGrid"/>
        <w:tblW w:w="9640" w:type="dxa"/>
        <w:tblInd w:w="-147" w:type="dxa"/>
        <w:tblLook w:val="04A0" w:firstRow="1" w:lastRow="0" w:firstColumn="1" w:lastColumn="0" w:noHBand="0" w:noVBand="1"/>
      </w:tblPr>
      <w:tblGrid>
        <w:gridCol w:w="1723"/>
        <w:gridCol w:w="3931"/>
        <w:gridCol w:w="3986"/>
      </w:tblGrid>
      <w:tr w:rsidR="008D3B53" w:rsidRPr="00E626CA" w:rsidTr="001A4BCC">
        <w:tc>
          <w:tcPr>
            <w:tcW w:w="9640" w:type="dxa"/>
            <w:gridSpan w:val="3"/>
            <w:shd w:val="clear" w:color="auto" w:fill="DEEAF6" w:themeFill="accent1" w:themeFillTint="33"/>
          </w:tcPr>
          <w:p w:rsidR="008D3B53" w:rsidRPr="00E626CA" w:rsidRDefault="00EB3659" w:rsidP="001A4BCC">
            <w:pPr>
              <w:jc w:val="center"/>
              <w:rPr>
                <w:b/>
              </w:rPr>
            </w:pPr>
            <w:r>
              <w:rPr>
                <w:b/>
              </w:rPr>
              <w:lastRenderedPageBreak/>
              <w:t>MATHEMATICAL</w:t>
            </w:r>
            <w:r w:rsidR="009F36BA">
              <w:rPr>
                <w:b/>
              </w:rPr>
              <w:t xml:space="preserve"> DEVELOPMENT</w:t>
            </w:r>
          </w:p>
          <w:p w:rsidR="008D3B53" w:rsidRPr="00E626CA" w:rsidRDefault="008D3B53" w:rsidP="001A4BCC"/>
        </w:tc>
      </w:tr>
      <w:tr w:rsidR="008D3B53" w:rsidRPr="00E626CA" w:rsidTr="001A4BCC">
        <w:tc>
          <w:tcPr>
            <w:tcW w:w="1781" w:type="dxa"/>
          </w:tcPr>
          <w:p w:rsidR="008D3B53" w:rsidRPr="00E626CA" w:rsidRDefault="008D3B53" w:rsidP="001A4BCC"/>
        </w:tc>
        <w:tc>
          <w:tcPr>
            <w:tcW w:w="3760" w:type="dxa"/>
          </w:tcPr>
          <w:p w:rsidR="008D3B53" w:rsidRPr="00E626CA" w:rsidRDefault="008D3B53" w:rsidP="001A4BCC">
            <w:pPr>
              <w:rPr>
                <w:b/>
              </w:rPr>
            </w:pPr>
            <w:r w:rsidRPr="00E626CA">
              <w:rPr>
                <w:b/>
              </w:rPr>
              <w:t>Sequence of learning</w:t>
            </w:r>
          </w:p>
        </w:tc>
        <w:tc>
          <w:tcPr>
            <w:tcW w:w="4099" w:type="dxa"/>
          </w:tcPr>
          <w:p w:rsidR="008D3B53" w:rsidRPr="00E626CA" w:rsidRDefault="008D3B53" w:rsidP="001A4BCC">
            <w:pPr>
              <w:rPr>
                <w:b/>
              </w:rPr>
            </w:pPr>
            <w:r w:rsidRPr="00E626CA">
              <w:rPr>
                <w:b/>
              </w:rPr>
              <w:t>Our unique Approach</w:t>
            </w:r>
          </w:p>
        </w:tc>
      </w:tr>
      <w:tr w:rsidR="008D3B53" w:rsidRPr="00E626CA" w:rsidTr="001A4BCC">
        <w:tc>
          <w:tcPr>
            <w:tcW w:w="1781" w:type="dxa"/>
          </w:tcPr>
          <w:p w:rsidR="008D3B53" w:rsidRPr="00E626CA" w:rsidRDefault="008D3B53" w:rsidP="001A4BCC">
            <w:pPr>
              <w:rPr>
                <w:b/>
              </w:rPr>
            </w:pPr>
            <w:r w:rsidRPr="00E626CA">
              <w:rPr>
                <w:b/>
              </w:rPr>
              <w:t>Two Year Old End Point</w:t>
            </w:r>
          </w:p>
        </w:tc>
        <w:tc>
          <w:tcPr>
            <w:tcW w:w="3760" w:type="dxa"/>
          </w:tcPr>
          <w:tbl>
            <w:tblPr>
              <w:tblW w:w="3619" w:type="dxa"/>
              <w:tblBorders>
                <w:top w:val="nil"/>
                <w:left w:val="nil"/>
                <w:bottom w:val="nil"/>
                <w:right w:val="nil"/>
              </w:tblBorders>
              <w:tblLook w:val="0000" w:firstRow="0" w:lastRow="0" w:firstColumn="0" w:lastColumn="0" w:noHBand="0" w:noVBand="0"/>
            </w:tblPr>
            <w:tblGrid>
              <w:gridCol w:w="222"/>
              <w:gridCol w:w="236"/>
              <w:gridCol w:w="3161"/>
            </w:tblGrid>
            <w:tr w:rsidR="00E92CD1" w:rsidRPr="0080058F" w:rsidTr="00E92CD1">
              <w:trPr>
                <w:trHeight w:val="1082"/>
              </w:trPr>
              <w:tc>
                <w:tcPr>
                  <w:tcW w:w="0" w:type="auto"/>
                </w:tcPr>
                <w:p w:rsidR="00E92CD1" w:rsidRPr="0080058F" w:rsidRDefault="00E92CD1" w:rsidP="00E92CD1">
                  <w:pPr>
                    <w:pStyle w:val="Default"/>
                    <w:rPr>
                      <w:rFonts w:cstheme="minorBidi"/>
                      <w:color w:val="auto"/>
                      <w:sz w:val="22"/>
                      <w:szCs w:val="22"/>
                    </w:rPr>
                  </w:pPr>
                </w:p>
                <w:p w:rsidR="00E92CD1" w:rsidRPr="0080058F" w:rsidRDefault="00E92CD1" w:rsidP="00E92CD1">
                  <w:pPr>
                    <w:pStyle w:val="Default"/>
                    <w:ind w:left="720"/>
                    <w:rPr>
                      <w:sz w:val="22"/>
                      <w:szCs w:val="22"/>
                    </w:rPr>
                  </w:pPr>
                </w:p>
              </w:tc>
              <w:tc>
                <w:tcPr>
                  <w:tcW w:w="236" w:type="dxa"/>
                </w:tcPr>
                <w:p w:rsidR="00E92CD1" w:rsidRPr="0080058F" w:rsidRDefault="00E92CD1" w:rsidP="00E92CD1">
                  <w:pPr>
                    <w:pStyle w:val="Default"/>
                    <w:numPr>
                      <w:ilvl w:val="0"/>
                      <w:numId w:val="4"/>
                    </w:numPr>
                    <w:rPr>
                      <w:sz w:val="22"/>
                      <w:szCs w:val="22"/>
                    </w:rPr>
                  </w:pPr>
                </w:p>
              </w:tc>
              <w:tc>
                <w:tcPr>
                  <w:tcW w:w="0" w:type="auto"/>
                </w:tcPr>
                <w:p w:rsidR="00E92CD1" w:rsidRDefault="00E92CD1" w:rsidP="00C401E2">
                  <w:pPr>
                    <w:pStyle w:val="Default"/>
                    <w:numPr>
                      <w:ilvl w:val="0"/>
                      <w:numId w:val="4"/>
                    </w:numPr>
                    <w:rPr>
                      <w:sz w:val="20"/>
                      <w:szCs w:val="20"/>
                    </w:rPr>
                  </w:pPr>
                  <w:r>
                    <w:rPr>
                      <w:sz w:val="20"/>
                      <w:szCs w:val="20"/>
                    </w:rPr>
                    <w:t xml:space="preserve">I can recognise that two things are the same shape. </w:t>
                  </w:r>
                </w:p>
                <w:p w:rsidR="00E92CD1" w:rsidRDefault="00E92CD1" w:rsidP="00C401E2">
                  <w:pPr>
                    <w:pStyle w:val="Default"/>
                    <w:numPr>
                      <w:ilvl w:val="0"/>
                      <w:numId w:val="4"/>
                    </w:numPr>
                    <w:rPr>
                      <w:sz w:val="20"/>
                      <w:szCs w:val="20"/>
                    </w:rPr>
                  </w:pPr>
                  <w:r>
                    <w:rPr>
                      <w:sz w:val="20"/>
                      <w:szCs w:val="20"/>
                    </w:rPr>
                    <w:t xml:space="preserve">I am able to fit pieces into an inset puzzle. </w:t>
                  </w:r>
                </w:p>
                <w:p w:rsidR="00A02BCD" w:rsidRDefault="00A02BCD" w:rsidP="00C401E2">
                  <w:pPr>
                    <w:pStyle w:val="Default"/>
                    <w:numPr>
                      <w:ilvl w:val="0"/>
                      <w:numId w:val="4"/>
                    </w:numPr>
                    <w:rPr>
                      <w:sz w:val="20"/>
                      <w:szCs w:val="20"/>
                    </w:rPr>
                  </w:pPr>
                  <w:r>
                    <w:rPr>
                      <w:sz w:val="20"/>
                      <w:szCs w:val="20"/>
                    </w:rPr>
                    <w:t>I can see simple patterns when they are pointed out to me.</w:t>
                  </w:r>
                </w:p>
                <w:p w:rsidR="00E92CD1" w:rsidRDefault="00E92CD1" w:rsidP="00C401E2">
                  <w:pPr>
                    <w:pStyle w:val="Default"/>
                    <w:numPr>
                      <w:ilvl w:val="0"/>
                      <w:numId w:val="4"/>
                    </w:numPr>
                    <w:rPr>
                      <w:sz w:val="20"/>
                      <w:szCs w:val="20"/>
                    </w:rPr>
                  </w:pPr>
                  <w:r>
                    <w:rPr>
                      <w:sz w:val="20"/>
                      <w:szCs w:val="20"/>
                    </w:rPr>
                    <w:t>I</w:t>
                  </w:r>
                  <w:r w:rsidR="00C401E2">
                    <w:rPr>
                      <w:sz w:val="20"/>
                      <w:szCs w:val="20"/>
                    </w:rPr>
                    <w:t xml:space="preserve"> enjoy filling and emptying con</w:t>
                  </w:r>
                  <w:r>
                    <w:rPr>
                      <w:sz w:val="20"/>
                      <w:szCs w:val="20"/>
                    </w:rPr>
                    <w:t xml:space="preserve">tainers and can recognise when these are full and empty </w:t>
                  </w:r>
                </w:p>
                <w:p w:rsidR="00E92CD1" w:rsidRDefault="00E92CD1" w:rsidP="00E92CD1">
                  <w:pPr>
                    <w:pStyle w:val="Default"/>
                    <w:rPr>
                      <w:sz w:val="20"/>
                      <w:szCs w:val="20"/>
                    </w:rPr>
                  </w:pPr>
                </w:p>
              </w:tc>
            </w:tr>
          </w:tbl>
          <w:p w:rsidR="00E626CA" w:rsidRPr="00E626CA" w:rsidRDefault="00E626CA" w:rsidP="00372C28"/>
        </w:tc>
        <w:tc>
          <w:tcPr>
            <w:tcW w:w="4099" w:type="dxa"/>
          </w:tcPr>
          <w:p w:rsidR="008D3B53" w:rsidRDefault="00643936" w:rsidP="00643936">
            <w:pPr>
              <w:pStyle w:val="ListParagraph"/>
              <w:numPr>
                <w:ilvl w:val="0"/>
                <w:numId w:val="4"/>
              </w:numPr>
            </w:pPr>
            <w:bookmarkStart w:id="0" w:name="_GoBack"/>
            <w:proofErr w:type="gramStart"/>
            <w:r w:rsidRPr="000F0081">
              <w:rPr>
                <w:b/>
              </w:rPr>
              <w:t>Adults</w:t>
            </w:r>
            <w:proofErr w:type="gramEnd"/>
            <w:r w:rsidRPr="000F0081">
              <w:rPr>
                <w:b/>
              </w:rPr>
              <w:t xml:space="preserve"> model</w:t>
            </w:r>
            <w:r>
              <w:t xml:space="preserve"> </w:t>
            </w:r>
            <w:bookmarkEnd w:id="0"/>
            <w:r>
              <w:t>and point out the characteristics of shapes and patterns as children play in malleable and open ended materials.</w:t>
            </w:r>
          </w:p>
          <w:p w:rsidR="00643936" w:rsidRDefault="00643936" w:rsidP="00643936">
            <w:pPr>
              <w:pStyle w:val="ListParagraph"/>
              <w:numPr>
                <w:ilvl w:val="0"/>
                <w:numId w:val="4"/>
              </w:numPr>
            </w:pPr>
            <w:r>
              <w:t>Adults model language whilst playing big, little, empty, full etc.</w:t>
            </w:r>
          </w:p>
          <w:p w:rsidR="00643936" w:rsidRPr="00E626CA" w:rsidRDefault="00643936" w:rsidP="00643936">
            <w:pPr>
              <w:pStyle w:val="ListParagraph"/>
              <w:numPr>
                <w:ilvl w:val="0"/>
                <w:numId w:val="4"/>
              </w:numPr>
            </w:pPr>
            <w:r>
              <w:t xml:space="preserve">Learning environment encourages children to explore enclosures and open ended materials particular in the outdoor environment. </w:t>
            </w:r>
          </w:p>
        </w:tc>
      </w:tr>
      <w:tr w:rsidR="008D3B53" w:rsidRPr="00E626CA" w:rsidTr="001A4BCC">
        <w:tc>
          <w:tcPr>
            <w:tcW w:w="1781" w:type="dxa"/>
          </w:tcPr>
          <w:p w:rsidR="008D3B53" w:rsidRPr="00E626CA" w:rsidRDefault="008D3B53" w:rsidP="001A4BCC">
            <w:pPr>
              <w:rPr>
                <w:b/>
              </w:rPr>
            </w:pPr>
            <w:r w:rsidRPr="00E626CA">
              <w:rPr>
                <w:b/>
              </w:rPr>
              <w:t>Rising Three End Point</w:t>
            </w:r>
          </w:p>
        </w:tc>
        <w:tc>
          <w:tcPr>
            <w:tcW w:w="3760" w:type="dxa"/>
          </w:tcPr>
          <w:tbl>
            <w:tblPr>
              <w:tblW w:w="3709" w:type="dxa"/>
              <w:tblBorders>
                <w:top w:val="nil"/>
                <w:left w:val="nil"/>
                <w:bottom w:val="nil"/>
                <w:right w:val="nil"/>
              </w:tblBorders>
              <w:tblLook w:val="0000" w:firstRow="0" w:lastRow="0" w:firstColumn="0" w:lastColumn="0" w:noHBand="0" w:noVBand="0"/>
            </w:tblPr>
            <w:tblGrid>
              <w:gridCol w:w="222"/>
              <w:gridCol w:w="222"/>
              <w:gridCol w:w="3265"/>
            </w:tblGrid>
            <w:tr w:rsidR="00E92CD1" w:rsidRPr="0080058F" w:rsidTr="00E92CD1">
              <w:trPr>
                <w:trHeight w:val="1208"/>
              </w:trPr>
              <w:tc>
                <w:tcPr>
                  <w:tcW w:w="0" w:type="auto"/>
                </w:tcPr>
                <w:p w:rsidR="00E92CD1" w:rsidRPr="0080058F" w:rsidRDefault="00E92CD1" w:rsidP="00E92CD1">
                  <w:pPr>
                    <w:pStyle w:val="Default"/>
                    <w:rPr>
                      <w:rFonts w:cstheme="minorBidi"/>
                      <w:color w:val="auto"/>
                      <w:sz w:val="22"/>
                      <w:szCs w:val="22"/>
                    </w:rPr>
                  </w:pPr>
                </w:p>
                <w:p w:rsidR="00E92CD1" w:rsidRPr="0080058F" w:rsidRDefault="00E92CD1" w:rsidP="00E92CD1">
                  <w:pPr>
                    <w:pStyle w:val="Default"/>
                    <w:rPr>
                      <w:sz w:val="22"/>
                      <w:szCs w:val="22"/>
                    </w:rPr>
                  </w:pPr>
                </w:p>
              </w:tc>
              <w:tc>
                <w:tcPr>
                  <w:tcW w:w="0" w:type="auto"/>
                </w:tcPr>
                <w:p w:rsidR="00E92CD1" w:rsidRPr="0080058F" w:rsidRDefault="00E92CD1" w:rsidP="00E92CD1">
                  <w:pPr>
                    <w:pStyle w:val="Default"/>
                    <w:numPr>
                      <w:ilvl w:val="0"/>
                      <w:numId w:val="10"/>
                    </w:numPr>
                    <w:rPr>
                      <w:sz w:val="22"/>
                      <w:szCs w:val="22"/>
                    </w:rPr>
                  </w:pPr>
                </w:p>
              </w:tc>
              <w:tc>
                <w:tcPr>
                  <w:tcW w:w="0" w:type="auto"/>
                </w:tcPr>
                <w:p w:rsidR="00E92CD1" w:rsidRDefault="00E92CD1" w:rsidP="00C401E2">
                  <w:pPr>
                    <w:pStyle w:val="Default"/>
                    <w:numPr>
                      <w:ilvl w:val="0"/>
                      <w:numId w:val="10"/>
                    </w:numPr>
                    <w:rPr>
                      <w:sz w:val="20"/>
                      <w:szCs w:val="20"/>
                    </w:rPr>
                  </w:pPr>
                  <w:r>
                    <w:rPr>
                      <w:sz w:val="20"/>
                      <w:szCs w:val="20"/>
                    </w:rPr>
                    <w:t xml:space="preserve">I am beginning to select shapes for a creating purpose, when constructing, creating or mark making. </w:t>
                  </w:r>
                </w:p>
                <w:p w:rsidR="00E92CD1" w:rsidRDefault="00E92CD1" w:rsidP="00C401E2">
                  <w:pPr>
                    <w:pStyle w:val="Default"/>
                    <w:numPr>
                      <w:ilvl w:val="0"/>
                      <w:numId w:val="10"/>
                    </w:numPr>
                    <w:rPr>
                      <w:sz w:val="20"/>
                      <w:szCs w:val="20"/>
                    </w:rPr>
                  </w:pPr>
                  <w:r>
                    <w:rPr>
                      <w:sz w:val="20"/>
                      <w:szCs w:val="20"/>
                    </w:rPr>
                    <w:t xml:space="preserve">I am able to name some simple shapes. </w:t>
                  </w:r>
                </w:p>
                <w:p w:rsidR="00A02BCD" w:rsidRDefault="00A02BCD" w:rsidP="00C401E2">
                  <w:pPr>
                    <w:pStyle w:val="Default"/>
                    <w:numPr>
                      <w:ilvl w:val="0"/>
                      <w:numId w:val="10"/>
                    </w:numPr>
                    <w:rPr>
                      <w:sz w:val="20"/>
                      <w:szCs w:val="20"/>
                    </w:rPr>
                  </w:pPr>
                  <w:r>
                    <w:rPr>
                      <w:sz w:val="20"/>
                      <w:szCs w:val="20"/>
                    </w:rPr>
                    <w:t xml:space="preserve">I can copy AB pattern and see an error </w:t>
                  </w:r>
                </w:p>
                <w:p w:rsidR="00E92CD1" w:rsidRDefault="00E92CD1" w:rsidP="00C401E2">
                  <w:pPr>
                    <w:pStyle w:val="Default"/>
                    <w:numPr>
                      <w:ilvl w:val="0"/>
                      <w:numId w:val="10"/>
                    </w:numPr>
                    <w:rPr>
                      <w:sz w:val="20"/>
                      <w:szCs w:val="20"/>
                    </w:rPr>
                  </w:pPr>
                  <w:r>
                    <w:rPr>
                      <w:sz w:val="20"/>
                      <w:szCs w:val="20"/>
                    </w:rPr>
                    <w:t xml:space="preserve">I can talk about properties that are the same and different with simple objects. </w:t>
                  </w:r>
                </w:p>
                <w:p w:rsidR="00E92CD1" w:rsidRDefault="00E92CD1" w:rsidP="00C401E2">
                  <w:pPr>
                    <w:pStyle w:val="Default"/>
                    <w:numPr>
                      <w:ilvl w:val="0"/>
                      <w:numId w:val="10"/>
                    </w:numPr>
                    <w:rPr>
                      <w:sz w:val="20"/>
                      <w:szCs w:val="20"/>
                    </w:rPr>
                  </w:pPr>
                  <w:r>
                    <w:rPr>
                      <w:sz w:val="20"/>
                      <w:szCs w:val="20"/>
                    </w:rPr>
                    <w:t xml:space="preserve">I </w:t>
                  </w:r>
                  <w:r w:rsidR="008078F6">
                    <w:rPr>
                      <w:sz w:val="20"/>
                      <w:szCs w:val="20"/>
                    </w:rPr>
                    <w:t>know when something is full or empty, tall or short, heavy or light.</w:t>
                  </w:r>
                </w:p>
                <w:p w:rsidR="00E92CD1" w:rsidRDefault="00E92CD1" w:rsidP="00E92CD1">
                  <w:pPr>
                    <w:pStyle w:val="Default"/>
                    <w:rPr>
                      <w:sz w:val="20"/>
                      <w:szCs w:val="20"/>
                    </w:rPr>
                  </w:pPr>
                </w:p>
              </w:tc>
            </w:tr>
          </w:tbl>
          <w:p w:rsidR="00E626CA" w:rsidRPr="00E626CA" w:rsidRDefault="00E626CA" w:rsidP="00372C28"/>
        </w:tc>
        <w:tc>
          <w:tcPr>
            <w:tcW w:w="4099" w:type="dxa"/>
          </w:tcPr>
          <w:p w:rsidR="008D3B53" w:rsidRPr="00E626CA" w:rsidRDefault="00E45776" w:rsidP="00E45776">
            <w:pPr>
              <w:pStyle w:val="ListParagraph"/>
              <w:numPr>
                <w:ilvl w:val="0"/>
                <w:numId w:val="10"/>
              </w:numPr>
            </w:pPr>
            <w:r>
              <w:t xml:space="preserve">Introduction of more </w:t>
            </w:r>
            <w:r w:rsidRPr="000F0081">
              <w:rPr>
                <w:b/>
              </w:rPr>
              <w:t xml:space="preserve">adult led </w:t>
            </w:r>
            <w:r>
              <w:t>activities that focus on mathematical development</w:t>
            </w:r>
          </w:p>
        </w:tc>
      </w:tr>
      <w:tr w:rsidR="008D3B53" w:rsidRPr="00E626CA" w:rsidTr="001A4BCC">
        <w:tc>
          <w:tcPr>
            <w:tcW w:w="1781" w:type="dxa"/>
          </w:tcPr>
          <w:p w:rsidR="008D3B53" w:rsidRPr="00E626CA" w:rsidRDefault="008D3B53" w:rsidP="001A4BCC">
            <w:pPr>
              <w:rPr>
                <w:b/>
              </w:rPr>
            </w:pPr>
            <w:r w:rsidRPr="00E626CA">
              <w:rPr>
                <w:b/>
              </w:rPr>
              <w:t>Pre-School End Point</w:t>
            </w:r>
          </w:p>
        </w:tc>
        <w:tc>
          <w:tcPr>
            <w:tcW w:w="3760" w:type="dxa"/>
          </w:tcPr>
          <w:tbl>
            <w:tblPr>
              <w:tblW w:w="3715" w:type="dxa"/>
              <w:tblBorders>
                <w:top w:val="nil"/>
                <w:left w:val="nil"/>
                <w:bottom w:val="nil"/>
                <w:right w:val="nil"/>
              </w:tblBorders>
              <w:tblLook w:val="0000" w:firstRow="0" w:lastRow="0" w:firstColumn="0" w:lastColumn="0" w:noHBand="0" w:noVBand="0"/>
            </w:tblPr>
            <w:tblGrid>
              <w:gridCol w:w="222"/>
              <w:gridCol w:w="222"/>
              <w:gridCol w:w="3271"/>
            </w:tblGrid>
            <w:tr w:rsidR="00E92CD1" w:rsidRPr="0080058F" w:rsidTr="00E92CD1">
              <w:trPr>
                <w:trHeight w:val="1819"/>
              </w:trPr>
              <w:tc>
                <w:tcPr>
                  <w:tcW w:w="0" w:type="auto"/>
                </w:tcPr>
                <w:p w:rsidR="00E92CD1" w:rsidRPr="0080058F" w:rsidRDefault="00E92CD1" w:rsidP="00E92CD1">
                  <w:pPr>
                    <w:pStyle w:val="Default"/>
                    <w:rPr>
                      <w:rFonts w:cstheme="minorBidi"/>
                      <w:color w:val="auto"/>
                      <w:sz w:val="22"/>
                      <w:szCs w:val="22"/>
                    </w:rPr>
                  </w:pPr>
                </w:p>
                <w:p w:rsidR="00E92CD1" w:rsidRPr="0080058F" w:rsidRDefault="00E92CD1" w:rsidP="00E92CD1">
                  <w:pPr>
                    <w:pStyle w:val="Default"/>
                    <w:numPr>
                      <w:ilvl w:val="0"/>
                      <w:numId w:val="6"/>
                    </w:numPr>
                    <w:rPr>
                      <w:sz w:val="22"/>
                      <w:szCs w:val="22"/>
                    </w:rPr>
                  </w:pPr>
                </w:p>
              </w:tc>
              <w:tc>
                <w:tcPr>
                  <w:tcW w:w="0" w:type="auto"/>
                </w:tcPr>
                <w:p w:rsidR="00E92CD1" w:rsidRPr="0080058F" w:rsidRDefault="00E92CD1" w:rsidP="00E92CD1">
                  <w:pPr>
                    <w:pStyle w:val="Default"/>
                    <w:ind w:left="720"/>
                    <w:rPr>
                      <w:sz w:val="22"/>
                      <w:szCs w:val="22"/>
                    </w:rPr>
                  </w:pPr>
                </w:p>
              </w:tc>
              <w:tc>
                <w:tcPr>
                  <w:tcW w:w="0" w:type="auto"/>
                </w:tcPr>
                <w:p w:rsidR="00E92CD1" w:rsidRDefault="008078F6" w:rsidP="00C401E2">
                  <w:pPr>
                    <w:pStyle w:val="Default"/>
                    <w:numPr>
                      <w:ilvl w:val="0"/>
                      <w:numId w:val="6"/>
                    </w:numPr>
                    <w:rPr>
                      <w:sz w:val="20"/>
                      <w:szCs w:val="20"/>
                    </w:rPr>
                  </w:pPr>
                  <w:r>
                    <w:rPr>
                      <w:sz w:val="20"/>
                      <w:szCs w:val="20"/>
                    </w:rPr>
                    <w:t>I can name some solid 3D shapes and describe their properties.</w:t>
                  </w:r>
                  <w:r w:rsidR="00E92CD1">
                    <w:rPr>
                      <w:sz w:val="20"/>
                      <w:szCs w:val="20"/>
                    </w:rPr>
                    <w:t xml:space="preserve"> </w:t>
                  </w:r>
                </w:p>
                <w:p w:rsidR="00E92CD1" w:rsidRDefault="00E92CD1" w:rsidP="00C401E2">
                  <w:pPr>
                    <w:pStyle w:val="Default"/>
                    <w:numPr>
                      <w:ilvl w:val="0"/>
                      <w:numId w:val="6"/>
                    </w:numPr>
                    <w:rPr>
                      <w:sz w:val="20"/>
                      <w:szCs w:val="20"/>
                    </w:rPr>
                  </w:pPr>
                  <w:r>
                    <w:rPr>
                      <w:sz w:val="20"/>
                      <w:szCs w:val="20"/>
                    </w:rPr>
                    <w:t xml:space="preserve">I understand how shapes can fit and balance together as I explore making enclosures, patterns and new ideas </w:t>
                  </w:r>
                </w:p>
                <w:p w:rsidR="00A02BCD" w:rsidRDefault="00A02BCD" w:rsidP="00C401E2">
                  <w:pPr>
                    <w:pStyle w:val="Default"/>
                    <w:numPr>
                      <w:ilvl w:val="0"/>
                      <w:numId w:val="6"/>
                    </w:numPr>
                    <w:rPr>
                      <w:sz w:val="20"/>
                      <w:szCs w:val="20"/>
                    </w:rPr>
                  </w:pPr>
                  <w:r>
                    <w:rPr>
                      <w:sz w:val="20"/>
                      <w:szCs w:val="20"/>
                    </w:rPr>
                    <w:t>I can make my own AB patterns and continue a pattern shown to me.</w:t>
                  </w:r>
                </w:p>
                <w:p w:rsidR="008078F6" w:rsidRDefault="008078F6" w:rsidP="00C401E2">
                  <w:pPr>
                    <w:pStyle w:val="Default"/>
                    <w:numPr>
                      <w:ilvl w:val="0"/>
                      <w:numId w:val="6"/>
                    </w:numPr>
                    <w:rPr>
                      <w:sz w:val="20"/>
                      <w:szCs w:val="20"/>
                    </w:rPr>
                  </w:pPr>
                  <w:r>
                    <w:rPr>
                      <w:sz w:val="20"/>
                      <w:szCs w:val="20"/>
                    </w:rPr>
                    <w:t>I can order objects by length, height and weight</w:t>
                  </w:r>
                </w:p>
                <w:p w:rsidR="008078F6" w:rsidRDefault="008078F6" w:rsidP="00643936">
                  <w:pPr>
                    <w:pStyle w:val="Default"/>
                    <w:ind w:left="720"/>
                    <w:rPr>
                      <w:sz w:val="20"/>
                      <w:szCs w:val="20"/>
                    </w:rPr>
                  </w:pPr>
                </w:p>
                <w:p w:rsidR="00E92CD1" w:rsidRDefault="00E92CD1" w:rsidP="00E92CD1">
                  <w:pPr>
                    <w:pStyle w:val="Default"/>
                    <w:rPr>
                      <w:sz w:val="20"/>
                      <w:szCs w:val="20"/>
                    </w:rPr>
                  </w:pPr>
                </w:p>
              </w:tc>
            </w:tr>
          </w:tbl>
          <w:p w:rsidR="00E626CA" w:rsidRPr="00E626CA" w:rsidRDefault="00E626CA" w:rsidP="00372C28"/>
        </w:tc>
        <w:tc>
          <w:tcPr>
            <w:tcW w:w="4099" w:type="dxa"/>
          </w:tcPr>
          <w:p w:rsidR="008D3B53" w:rsidRDefault="00107AD2" w:rsidP="00107AD2">
            <w:pPr>
              <w:pStyle w:val="ListParagraph"/>
              <w:numPr>
                <w:ilvl w:val="0"/>
                <w:numId w:val="6"/>
              </w:numPr>
            </w:pPr>
            <w:r w:rsidRPr="00107AD2">
              <w:rPr>
                <w:b/>
              </w:rPr>
              <w:t>Differentiated group times</w:t>
            </w:r>
            <w:r>
              <w:t xml:space="preserve"> that focus on mathematical development </w:t>
            </w:r>
          </w:p>
          <w:p w:rsidR="00107AD2" w:rsidRPr="00107AD2" w:rsidRDefault="00107AD2" w:rsidP="00107AD2">
            <w:pPr>
              <w:pStyle w:val="ListParagraph"/>
              <w:numPr>
                <w:ilvl w:val="0"/>
                <w:numId w:val="6"/>
              </w:numPr>
              <w:rPr>
                <w:b/>
              </w:rPr>
            </w:pPr>
            <w:r w:rsidRPr="00107AD2">
              <w:rPr>
                <w:b/>
              </w:rPr>
              <w:t xml:space="preserve">Interventions </w:t>
            </w:r>
          </w:p>
        </w:tc>
      </w:tr>
    </w:tbl>
    <w:p w:rsidR="008D3B53" w:rsidRDefault="008D3B53"/>
    <w:sectPr w:rsidR="008D3B5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238" w:rsidRDefault="008A4238" w:rsidP="00E626CA">
      <w:pPr>
        <w:spacing w:after="0" w:line="240" w:lineRule="auto"/>
      </w:pPr>
      <w:r>
        <w:separator/>
      </w:r>
    </w:p>
  </w:endnote>
  <w:endnote w:type="continuationSeparator" w:id="0">
    <w:p w:rsidR="008A4238" w:rsidRDefault="008A4238" w:rsidP="00E62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238" w:rsidRDefault="008A4238" w:rsidP="00E626CA">
      <w:pPr>
        <w:spacing w:after="0" w:line="240" w:lineRule="auto"/>
      </w:pPr>
      <w:r>
        <w:separator/>
      </w:r>
    </w:p>
  </w:footnote>
  <w:footnote w:type="continuationSeparator" w:id="0">
    <w:p w:rsidR="008A4238" w:rsidRDefault="008A4238" w:rsidP="00E626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6CA" w:rsidRDefault="008D3B53">
    <w:pPr>
      <w:pStyle w:val="Header"/>
    </w:pPr>
    <w:r>
      <w:rPr>
        <w:noProof/>
        <w:lang w:eastAsia="en-GB"/>
      </w:rPr>
      <mc:AlternateContent>
        <mc:Choice Requires="wps">
          <w:drawing>
            <wp:anchor distT="0" distB="0" distL="118745" distR="118745" simplePos="0" relativeHeight="251659264" behindDoc="1" locked="0" layoutInCell="1" allowOverlap="0" wp14:anchorId="6A9BEDAD" wp14:editId="7AF9EB4C">
              <wp:simplePos x="0" y="0"/>
              <wp:positionH relativeFrom="margin">
                <wp:posOffset>180975</wp:posOffset>
              </wp:positionH>
              <wp:positionV relativeFrom="page">
                <wp:posOffset>228600</wp:posOffset>
              </wp:positionV>
              <wp:extent cx="5949950" cy="333375"/>
              <wp:effectExtent l="0" t="0" r="2540" b="9525"/>
              <wp:wrapSquare wrapText="bothSides"/>
              <wp:docPr id="197" name="Rectangle 197"/>
              <wp:cNvGraphicFramePr/>
              <a:graphic xmlns:a="http://schemas.openxmlformats.org/drawingml/2006/main">
                <a:graphicData uri="http://schemas.microsoft.com/office/word/2010/wordprocessingShape">
                  <wps:wsp>
                    <wps:cNvSpPr/>
                    <wps:spPr>
                      <a:xfrm>
                        <a:off x="0" y="0"/>
                        <a:ext cx="5949950" cy="333375"/>
                      </a:xfrm>
                      <a:prstGeom prst="rect">
                        <a:avLst/>
                      </a:prstGeom>
                      <a:solidFill>
                        <a:srgbClr val="5B9BD5"/>
                      </a:solidFill>
                      <a:ln w="12700" cap="flat" cmpd="sng" algn="ctr">
                        <a:noFill/>
                        <a:prstDash val="solid"/>
                        <a:miter lim="800000"/>
                      </a:ln>
                      <a:effectLst/>
                    </wps:spPr>
                    <wps:txb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 xml:space="preserve">OOL </w:t>
                              </w:r>
                              <w:r w:rsidR="0093093D">
                                <w:rPr>
                                  <w:b/>
                                  <w:caps/>
                                  <w:color w:val="000000" w:themeColor="text1"/>
                                </w:rPr>
                                <w:t>MATHEMATICAL DEVELOPMENT</w:t>
                              </w:r>
                            </w:p>
                          </w:sdtContent>
                        </w:sdt>
                        <w:p w:rsidR="00E626CA" w:rsidRDefault="00E626C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6A9BEDAD" id="Rectangle 197" o:spid="_x0000_s1026" style="position:absolute;margin-left:14.25pt;margin-top:18pt;width:468.5pt;height:26.25pt;z-index:-251657216;visibility:visible;mso-wrap-style:square;mso-width-percent:1000;mso-height-percent:0;mso-wrap-distance-left:9.35pt;mso-wrap-distance-top:0;mso-wrap-distance-right:9.35pt;mso-wrap-distance-bottom:0;mso-position-horizontal:absolute;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" o:allowoverlap="f" fillcolor="#5b9bd5" stroked="f" strokeweight="1pt">
              <v:textbox>
                <w:txbxContent>
                  <w:sdt>
                    <w:sdtPr>
                      <w:rPr>
                        <w:b/>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E626CA" w:rsidRDefault="008D3B53" w:rsidP="00E626CA">
                        <w:pPr>
                          <w:pStyle w:val="Header"/>
                          <w:jc w:val="center"/>
                          <w:rPr>
                            <w:b/>
                            <w:caps/>
                            <w:color w:val="000000" w:themeColor="text1"/>
                          </w:rPr>
                        </w:pPr>
                        <w:r>
                          <w:rPr>
                            <w:b/>
                            <w:caps/>
                            <w:color w:val="000000" w:themeColor="text1"/>
                          </w:rPr>
                          <w:t>HINDLEY NURSERY SCH</w:t>
                        </w:r>
                        <w:r w:rsidR="00DB1FD6">
                          <w:rPr>
                            <w:b/>
                            <w:caps/>
                            <w:color w:val="000000" w:themeColor="text1"/>
                          </w:rPr>
                          <w:t xml:space="preserve">OOL </w:t>
                        </w:r>
                        <w:r w:rsidR="0093093D">
                          <w:rPr>
                            <w:b/>
                            <w:caps/>
                            <w:color w:val="000000" w:themeColor="text1"/>
                          </w:rPr>
                          <w:t>MATHEMATICAL DEVELOPMENT</w:t>
                        </w:r>
                      </w:p>
                    </w:sdtContent>
                  </w:sdt>
                  <w:p w:rsidR="00E626CA" w:rsidRDefault="00E626CA"/>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ADE"/>
    <w:multiLevelType w:val="hybridMultilevel"/>
    <w:tmpl w:val="2034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85787"/>
    <w:multiLevelType w:val="hybridMultilevel"/>
    <w:tmpl w:val="21820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665C1"/>
    <w:multiLevelType w:val="hybridMultilevel"/>
    <w:tmpl w:val="C122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50EA"/>
    <w:multiLevelType w:val="hybridMultilevel"/>
    <w:tmpl w:val="D77C4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55B0"/>
    <w:multiLevelType w:val="hybridMultilevel"/>
    <w:tmpl w:val="D8E45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040F15"/>
    <w:multiLevelType w:val="hybridMultilevel"/>
    <w:tmpl w:val="F47A9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2D16CB"/>
    <w:multiLevelType w:val="hybridMultilevel"/>
    <w:tmpl w:val="587851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4D050A20"/>
    <w:multiLevelType w:val="multilevel"/>
    <w:tmpl w:val="5192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E84928"/>
    <w:multiLevelType w:val="hybridMultilevel"/>
    <w:tmpl w:val="8E5E3FD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9" w15:restartNumberingAfterBreak="0">
    <w:nsid w:val="59C80FB3"/>
    <w:multiLevelType w:val="hybridMultilevel"/>
    <w:tmpl w:val="65840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813C1F"/>
    <w:multiLevelType w:val="hybridMultilevel"/>
    <w:tmpl w:val="61BC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217CD"/>
    <w:multiLevelType w:val="hybridMultilevel"/>
    <w:tmpl w:val="1804B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A919D7"/>
    <w:multiLevelType w:val="hybridMultilevel"/>
    <w:tmpl w:val="5D2AB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E237A"/>
    <w:multiLevelType w:val="hybridMultilevel"/>
    <w:tmpl w:val="59CA0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9F4B07"/>
    <w:multiLevelType w:val="hybridMultilevel"/>
    <w:tmpl w:val="2A8E0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AB2546"/>
    <w:multiLevelType w:val="hybridMultilevel"/>
    <w:tmpl w:val="F842C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3"/>
  </w:num>
  <w:num w:numId="5">
    <w:abstractNumId w:val="0"/>
  </w:num>
  <w:num w:numId="6">
    <w:abstractNumId w:val="14"/>
  </w:num>
  <w:num w:numId="7">
    <w:abstractNumId w:val="8"/>
  </w:num>
  <w:num w:numId="8">
    <w:abstractNumId w:val="6"/>
  </w:num>
  <w:num w:numId="9">
    <w:abstractNumId w:val="10"/>
  </w:num>
  <w:num w:numId="10">
    <w:abstractNumId w:val="4"/>
  </w:num>
  <w:num w:numId="11">
    <w:abstractNumId w:val="12"/>
  </w:num>
  <w:num w:numId="12">
    <w:abstractNumId w:val="9"/>
  </w:num>
  <w:num w:numId="13">
    <w:abstractNumId w:val="7"/>
  </w:num>
  <w:num w:numId="14">
    <w:abstractNumId w:val="1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C67"/>
    <w:rsid w:val="000C439C"/>
    <w:rsid w:val="000F0081"/>
    <w:rsid w:val="00107AD2"/>
    <w:rsid w:val="0028576A"/>
    <w:rsid w:val="00372C28"/>
    <w:rsid w:val="003C6CE2"/>
    <w:rsid w:val="00450A37"/>
    <w:rsid w:val="00643936"/>
    <w:rsid w:val="006E7C67"/>
    <w:rsid w:val="006F3E26"/>
    <w:rsid w:val="007769B9"/>
    <w:rsid w:val="0080058F"/>
    <w:rsid w:val="008078F6"/>
    <w:rsid w:val="00814AA6"/>
    <w:rsid w:val="008A4238"/>
    <w:rsid w:val="008D3B53"/>
    <w:rsid w:val="0093093D"/>
    <w:rsid w:val="009C1AE9"/>
    <w:rsid w:val="009F36BA"/>
    <w:rsid w:val="00A02BCD"/>
    <w:rsid w:val="00A43A4F"/>
    <w:rsid w:val="00AD6B11"/>
    <w:rsid w:val="00B82D93"/>
    <w:rsid w:val="00C401E2"/>
    <w:rsid w:val="00CE0D81"/>
    <w:rsid w:val="00CE3CF4"/>
    <w:rsid w:val="00D52CF1"/>
    <w:rsid w:val="00DB1FD6"/>
    <w:rsid w:val="00E45776"/>
    <w:rsid w:val="00E626CA"/>
    <w:rsid w:val="00E92CD1"/>
    <w:rsid w:val="00EB3659"/>
    <w:rsid w:val="00F84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0F99E4-CF74-4560-BA1A-6F97B164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6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6CA"/>
    <w:pPr>
      <w:ind w:left="720"/>
      <w:contextualSpacing/>
    </w:pPr>
  </w:style>
  <w:style w:type="paragraph" w:styleId="Header">
    <w:name w:val="header"/>
    <w:basedOn w:val="Normal"/>
    <w:link w:val="HeaderChar"/>
    <w:uiPriority w:val="99"/>
    <w:unhideWhenUsed/>
    <w:rsid w:val="00E62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6CA"/>
  </w:style>
  <w:style w:type="paragraph" w:styleId="Footer">
    <w:name w:val="footer"/>
    <w:basedOn w:val="Normal"/>
    <w:link w:val="FooterChar"/>
    <w:uiPriority w:val="99"/>
    <w:unhideWhenUsed/>
    <w:rsid w:val="00E62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6CA"/>
  </w:style>
  <w:style w:type="table" w:styleId="TableGrid">
    <w:name w:val="Table Grid"/>
    <w:basedOn w:val="TableNormal"/>
    <w:uiPriority w:val="39"/>
    <w:rsid w:val="00E62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3B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HINDLEY NURSERY SCHOOL MATHEMATICAL DEVELOPMENT</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HINDLEY NURSERY SCHOOL MATHEMATICAL DEVELOPMENT</dc:title>
  <dc:subject/>
  <dc:creator>User</dc:creator>
  <cp:keywords/>
  <dc:description/>
  <cp:lastModifiedBy>Rachel</cp:lastModifiedBy>
  <cp:revision>9</cp:revision>
  <dcterms:created xsi:type="dcterms:W3CDTF">2022-03-04T20:45:00Z</dcterms:created>
  <dcterms:modified xsi:type="dcterms:W3CDTF">2022-03-21T13:22:00Z</dcterms:modified>
</cp:coreProperties>
</file>